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data1.xml" ContentType="application/vnd.openxmlformats-officedocument.drawingml.diagramData+xml"/>
  <Default Extension="emf" ContentType="image/x-emf"/>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FDE" w:rsidRDefault="00C42F2E" w:rsidP="00486FDE">
      <w:pPr>
        <w:jc w:val="right"/>
        <w:rPr>
          <w:color w:val="7F7F7F" w:themeColor="text1" w:themeTint="80"/>
          <w:sz w:val="32"/>
          <w:szCs w:val="32"/>
        </w:rPr>
      </w:pPr>
      <w:r>
        <w:rPr>
          <w:b/>
          <w:color w:val="2E3A6A"/>
          <w:sz w:val="32"/>
          <w:szCs w:val="32"/>
        </w:rPr>
        <w:t>Mayo</w:t>
      </w:r>
      <w:r w:rsidR="00486FDE" w:rsidRPr="00137DC1">
        <w:rPr>
          <w:b/>
          <w:color w:val="2E3A6A"/>
          <w:sz w:val="32"/>
          <w:szCs w:val="32"/>
        </w:rPr>
        <w:t xml:space="preserve"> 20</w:t>
      </w:r>
      <w:r w:rsidR="00856CE7" w:rsidRPr="00856CE7">
        <w:rPr>
          <w:noProof/>
          <w:color w:val="C4BC96" w:themeColor="background2" w:themeShade="BF"/>
          <w:sz w:val="32"/>
          <w:szCs w:val="32"/>
        </w:rPr>
        <w:pict>
          <v:group id="_x0000_s1041" style="position:absolute;left:0;text-align:left;margin-left:0;margin-top:0;width:595.35pt;height:841.95pt;z-index:-251651072;mso-width-percent:1000;mso-height-percent:1000;mso-position-horizontal:center;mso-position-horizontal-relative:page;mso-position-vertical:center;mso-position-vertical-relative:page;mso-width-percent:1000;mso-height-percent:1000" coordsize="12240,15840" o:allowincell="f">
            <v:rect id="_x0000_s1042" style="position:absolute;width:12240;height:15840;mso-width-percent:1000;mso-height-percent:1000;mso-position-horizontal:center;mso-position-horizontal-relative:page;mso-position-vertical:top;mso-position-vertical-relative:page;mso-width-percent:1000;mso-height-percent:1000" fillcolor="#2e3a6a" stroked="f"/>
            <v:rect id="_x0000_s1043" style="position:absolute;left:612;top:638;width:11016;height:14564;mso-width-percent:900;mso-height-percent:920;mso-position-horizontal:center;mso-position-horizontal-relative:page;mso-position-vertical:center;mso-position-vertical-relative:page;mso-width-percent:900;mso-height-percent:920" stroked="f"/>
            <w10:wrap anchorx="page" anchory="page"/>
          </v:group>
        </w:pict>
      </w:r>
      <w:r>
        <w:rPr>
          <w:b/>
          <w:color w:val="2E3A6A"/>
          <w:sz w:val="32"/>
          <w:szCs w:val="32"/>
        </w:rPr>
        <w:t>11</w:t>
      </w:r>
    </w:p>
    <w:tbl>
      <w:tblPr>
        <w:tblpPr w:leftFromText="187" w:rightFromText="187" w:horzAnchor="margin" w:tblpXSpec="center" w:tblpYSpec="bottom"/>
        <w:tblOverlap w:val="never"/>
        <w:tblW w:w="0" w:type="auto"/>
        <w:tblLook w:val="04A0"/>
      </w:tblPr>
      <w:tblGrid>
        <w:gridCol w:w="8720"/>
      </w:tblGrid>
      <w:tr w:rsidR="00486FDE" w:rsidRPr="001E2AD0" w:rsidTr="00F53012">
        <w:tc>
          <w:tcPr>
            <w:tcW w:w="8720" w:type="dxa"/>
          </w:tcPr>
          <w:p w:rsidR="00486FDE" w:rsidRPr="001E2AD0" w:rsidRDefault="00C42F2E" w:rsidP="00F53012">
            <w:pPr>
              <w:pStyle w:val="Sinespaciado"/>
              <w:jc w:val="center"/>
              <w:rPr>
                <w:rFonts w:asciiTheme="minorHAnsi" w:eastAsiaTheme="minorEastAsia" w:hAnsiTheme="minorHAnsi" w:cstheme="minorBidi"/>
                <w:color w:val="7F7F7F" w:themeColor="text1" w:themeTint="80"/>
                <w:sz w:val="32"/>
                <w:szCs w:val="32"/>
              </w:rPr>
            </w:pPr>
            <w:r>
              <w:rPr>
                <w:rFonts w:asciiTheme="minorHAnsi" w:eastAsiaTheme="minorEastAsia" w:hAnsiTheme="minorHAnsi" w:cstheme="minorBidi"/>
                <w:b/>
                <w:color w:val="2E3A6A"/>
                <w:sz w:val="32"/>
                <w:szCs w:val="32"/>
              </w:rPr>
              <w:t>PEC</w:t>
            </w:r>
            <w:r w:rsidR="00486FDE" w:rsidRPr="001E2AD0">
              <w:rPr>
                <w:rFonts w:asciiTheme="minorHAnsi" w:eastAsiaTheme="minorEastAsia" w:hAnsiTheme="minorHAnsi" w:cstheme="minorBidi"/>
                <w:b/>
                <w:color w:val="2E3A6A"/>
                <w:sz w:val="32"/>
                <w:szCs w:val="32"/>
              </w:rPr>
              <w:t xml:space="preserve"> 2 |  Jaime Moros Marín</w:t>
            </w:r>
          </w:p>
        </w:tc>
      </w:tr>
    </w:tbl>
    <w:p w:rsidR="00486FDE" w:rsidRDefault="00486FDE" w:rsidP="00486FDE">
      <w:pPr>
        <w:jc w:val="center"/>
        <w:rPr>
          <w:color w:val="7F7F7F" w:themeColor="text1" w:themeTint="80"/>
          <w:sz w:val="32"/>
          <w:szCs w:val="32"/>
        </w:rPr>
      </w:pPr>
    </w:p>
    <w:p w:rsidR="00486FDE" w:rsidRDefault="00856CE7" w:rsidP="00486FDE">
      <w:r w:rsidRPr="00856CE7">
        <w:rPr>
          <w:noProof/>
          <w:color w:val="C4BC96" w:themeColor="background2" w:themeShade="BF"/>
          <w:sz w:val="32"/>
          <w:szCs w:val="32"/>
        </w:rPr>
        <w:pict>
          <v:rect id="_x0000_s1044" style="position:absolute;margin-left:138.75pt;margin-top:414.9pt;width:334.5pt;height:80.85pt;z-index:251666432;mso-position-horizontal-relative:page;mso-position-vertical-relative:page" o:allowincell="f" fillcolor="#a5a5a5" stroked="f">
            <v:fill opacity="58982f"/>
            <v:textbox style="mso-next-textbox:#_x0000_s1044" inset="18pt,0,18pt,0">
              <w:txbxContent>
                <w:tbl>
                  <w:tblPr>
                    <w:tblW w:w="5000" w:type="pct"/>
                    <w:tblCellMar>
                      <w:left w:w="360" w:type="dxa"/>
                      <w:right w:w="360" w:type="dxa"/>
                    </w:tblCellMar>
                    <w:tblLook w:val="04A0"/>
                  </w:tblPr>
                  <w:tblGrid>
                    <w:gridCol w:w="1984"/>
                    <w:gridCol w:w="4721"/>
                  </w:tblGrid>
                  <w:tr w:rsidR="008D4947" w:rsidRPr="001E2AD0" w:rsidTr="00F53012">
                    <w:trPr>
                      <w:trHeight w:val="1080"/>
                    </w:trPr>
                    <w:tc>
                      <w:tcPr>
                        <w:tcW w:w="1078" w:type="pct"/>
                        <w:shd w:val="clear" w:color="auto" w:fill="002060"/>
                        <w:vAlign w:val="center"/>
                      </w:tcPr>
                      <w:p w:rsidR="008D4947" w:rsidRPr="001E2AD0" w:rsidRDefault="008D4947">
                        <w:pPr>
                          <w:pStyle w:val="Sinespaciado"/>
                          <w:rPr>
                            <w:rStyle w:val="ggroupname1"/>
                            <w:rFonts w:eastAsiaTheme="minorEastAsia"/>
                          </w:rPr>
                        </w:pPr>
                        <w:r w:rsidRPr="001E2AD0">
                          <w:rPr>
                            <w:rStyle w:val="ggroupname1"/>
                            <w:rFonts w:eastAsiaTheme="minorEastAsia"/>
                          </w:rPr>
                          <w:t>UOC</w:t>
                        </w:r>
                      </w:p>
                      <w:p w:rsidR="008D4947" w:rsidRPr="001E2AD0" w:rsidRDefault="008D4947">
                        <w:pPr>
                          <w:pStyle w:val="Sinespaciado"/>
                          <w:rPr>
                            <w:rFonts w:asciiTheme="minorHAnsi" w:eastAsiaTheme="minorEastAsia" w:hAnsiTheme="minorHAnsi" w:cstheme="minorBidi"/>
                            <w:smallCaps/>
                            <w:sz w:val="40"/>
                            <w:szCs w:val="40"/>
                          </w:rPr>
                        </w:pPr>
                        <w:r w:rsidRPr="001E2AD0">
                          <w:rPr>
                            <w:rStyle w:val="ggroupname1"/>
                            <w:rFonts w:eastAsiaTheme="minorEastAsia"/>
                          </w:rPr>
                          <w:t>Máster ETIC.</w:t>
                        </w:r>
                      </w:p>
                    </w:tc>
                    <w:tc>
                      <w:tcPr>
                        <w:tcW w:w="3922" w:type="pct"/>
                        <w:shd w:val="clear" w:color="auto" w:fill="2E3A6A"/>
                        <w:vAlign w:val="center"/>
                      </w:tcPr>
                      <w:p w:rsidR="008D4947" w:rsidRPr="001E2AD0" w:rsidRDefault="008D4947" w:rsidP="00C42F2E">
                        <w:pPr>
                          <w:pStyle w:val="Sinespaciado"/>
                          <w:jc w:val="center"/>
                          <w:rPr>
                            <w:rFonts w:asciiTheme="minorHAnsi" w:eastAsiaTheme="minorEastAsia" w:hAnsiTheme="minorHAnsi" w:cstheme="minorBidi"/>
                            <w:smallCaps/>
                            <w:color w:val="FFFFFF"/>
                            <w:sz w:val="48"/>
                            <w:szCs w:val="48"/>
                          </w:rPr>
                        </w:pPr>
                        <w:r w:rsidRPr="001E2AD0">
                          <w:rPr>
                            <w:rFonts w:asciiTheme="minorHAnsi" w:eastAsiaTheme="minorEastAsia" w:hAnsiTheme="minorHAnsi" w:cstheme="minorBidi"/>
                            <w:b/>
                            <w:smallCaps/>
                            <w:color w:val="FFFFFF"/>
                            <w:sz w:val="44"/>
                            <w:szCs w:val="48"/>
                          </w:rPr>
                          <w:t>D</w:t>
                        </w:r>
                        <w:r>
                          <w:rPr>
                            <w:rFonts w:asciiTheme="minorHAnsi" w:eastAsiaTheme="minorEastAsia" w:hAnsiTheme="minorHAnsi" w:cstheme="minorBidi"/>
                            <w:b/>
                            <w:smallCaps/>
                            <w:color w:val="FFFFFF"/>
                            <w:sz w:val="44"/>
                            <w:szCs w:val="48"/>
                          </w:rPr>
                          <w:t>iseño de materiales de aprendizaje multimedia. pec</w:t>
                        </w:r>
                        <w:r w:rsidRPr="001E2AD0">
                          <w:rPr>
                            <w:rFonts w:asciiTheme="minorHAnsi" w:eastAsiaTheme="minorEastAsia" w:hAnsiTheme="minorHAnsi" w:cstheme="minorBidi"/>
                            <w:b/>
                            <w:smallCaps/>
                            <w:color w:val="FFFFFF"/>
                            <w:sz w:val="44"/>
                            <w:szCs w:val="48"/>
                          </w:rPr>
                          <w:t xml:space="preserve"> 2</w:t>
                        </w:r>
                      </w:p>
                    </w:tc>
                  </w:tr>
                </w:tbl>
                <w:p w:rsidR="008D4947" w:rsidRDefault="008D4947" w:rsidP="00486FDE">
                  <w:pPr>
                    <w:pStyle w:val="Sinespaciado"/>
                    <w:spacing w:line="14" w:lineRule="exact"/>
                  </w:pPr>
                </w:p>
              </w:txbxContent>
            </v:textbox>
            <w10:wrap anchorx="page" anchory="page"/>
          </v:rect>
        </w:pict>
      </w:r>
      <w:r w:rsidR="00486FDE">
        <w:rPr>
          <w:rFonts w:ascii="Calibri" w:eastAsia="Calibri" w:hAnsi="Calibri" w:cs="Times New Roman"/>
          <w:noProof/>
          <w:color w:val="C4BC96" w:themeColor="background2" w:themeShade="BF"/>
          <w:sz w:val="32"/>
          <w:szCs w:val="32"/>
          <w:lang w:eastAsia="es-ES"/>
        </w:rPr>
        <w:drawing>
          <wp:anchor distT="0" distB="0" distL="114300" distR="114300" simplePos="0" relativeHeight="251667456" behindDoc="1" locked="0" layoutInCell="1" allowOverlap="1">
            <wp:simplePos x="0" y="0"/>
            <wp:positionH relativeFrom="column">
              <wp:posOffset>34290</wp:posOffset>
            </wp:positionH>
            <wp:positionV relativeFrom="paragraph">
              <wp:posOffset>1476375</wp:posOffset>
            </wp:positionV>
            <wp:extent cx="5400675" cy="3857625"/>
            <wp:effectExtent l="19050" t="0" r="9525" b="0"/>
            <wp:wrapNone/>
            <wp:docPr id="21" name="Imagen 9" descr="C:\Documents and Settings\HP\Escritorio\logo para portad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C:\Documents and Settings\HP\Escritorio\logo para portada.bmp"/>
                    <pic:cNvPicPr>
                      <a:picLocks noChangeAspect="1" noChangeArrowheads="1"/>
                    </pic:cNvPicPr>
                  </pic:nvPicPr>
                  <pic:blipFill>
                    <a:blip r:embed="rId7"/>
                    <a:srcRect/>
                    <a:stretch>
                      <a:fillRect/>
                    </a:stretch>
                  </pic:blipFill>
                  <pic:spPr bwMode="auto">
                    <a:xfrm>
                      <a:off x="0" y="0"/>
                      <a:ext cx="5400675" cy="3857625"/>
                    </a:xfrm>
                    <a:prstGeom prst="rect">
                      <a:avLst/>
                    </a:prstGeom>
                    <a:noFill/>
                    <a:ln w="9525">
                      <a:noFill/>
                      <a:miter lim="800000"/>
                      <a:headEnd/>
                      <a:tailEnd/>
                    </a:ln>
                  </pic:spPr>
                </pic:pic>
              </a:graphicData>
            </a:graphic>
          </wp:anchor>
        </w:drawing>
      </w:r>
      <w:r w:rsidR="00486FDE">
        <w:br w:type="page"/>
      </w:r>
    </w:p>
    <w:p w:rsidR="0095548D" w:rsidRPr="009E2E78" w:rsidRDefault="00D75C3C" w:rsidP="009E2E78">
      <w:pPr>
        <w:jc w:val="center"/>
        <w:rPr>
          <w:b/>
          <w:sz w:val="24"/>
        </w:rPr>
      </w:pPr>
      <w:r w:rsidRPr="009E2E78">
        <w:rPr>
          <w:b/>
          <w:sz w:val="24"/>
        </w:rPr>
        <w:lastRenderedPageBreak/>
        <w:t>CONCEPTUALIZAR UN OBJETO DE APRENDIZAJE</w:t>
      </w:r>
    </w:p>
    <w:p w:rsidR="009E2E78" w:rsidRDefault="009E2E78" w:rsidP="009E2E78">
      <w:pPr>
        <w:jc w:val="both"/>
      </w:pPr>
    </w:p>
    <w:p w:rsidR="00D75C3C" w:rsidRPr="009E2E78" w:rsidRDefault="00BA7213" w:rsidP="009E2E78">
      <w:pPr>
        <w:jc w:val="both"/>
        <w:rPr>
          <w:b/>
        </w:rPr>
      </w:pPr>
      <w:r w:rsidRPr="009E2E78">
        <w:rPr>
          <w:b/>
        </w:rPr>
        <w:t xml:space="preserve">1. </w:t>
      </w:r>
      <w:r w:rsidR="00C42F2E" w:rsidRPr="009E2E78">
        <w:rPr>
          <w:b/>
        </w:rPr>
        <w:t>INTRODUCCIÓN</w:t>
      </w:r>
    </w:p>
    <w:p w:rsidR="00243B9C" w:rsidRDefault="00D75C3C" w:rsidP="009E2E78">
      <w:pPr>
        <w:jc w:val="both"/>
      </w:pPr>
      <w:r>
        <w:t xml:space="preserve">La intencionalidad del presente trabajo es conceptualizar un objeto de aprendizaje  </w:t>
      </w:r>
      <w:r w:rsidR="00C616DC">
        <w:t xml:space="preserve">con estructura independiente que sirva </w:t>
      </w:r>
      <w:r>
        <w:t>para un grupo de destinatarios diversos</w:t>
      </w:r>
      <w:r w:rsidR="00F06474">
        <w:t>,</w:t>
      </w:r>
      <w:r w:rsidR="00C616DC">
        <w:t xml:space="preserve">  desarrollado con TIC</w:t>
      </w:r>
      <w:r w:rsidR="00A075C2">
        <w:t>’s</w:t>
      </w:r>
      <w:r w:rsidR="00C616DC">
        <w:t xml:space="preserve"> y que posibilite la reutilización</w:t>
      </w:r>
      <w:r w:rsidR="00B05269">
        <w:t>,</w:t>
      </w:r>
      <w:r w:rsidR="00C616DC">
        <w:t xml:space="preserve"> interoperabilidad, accesibilidad y duración en el contexto propuesto.</w:t>
      </w:r>
      <w:r w:rsidR="00243B9C">
        <w:t xml:space="preserve"> Se considerarán aspectos pedagógicos para el diseño y creación del mismo lo que garantice mayor éxito formativo entre los usuarios.</w:t>
      </w:r>
    </w:p>
    <w:p w:rsidR="00C42F2E" w:rsidRPr="009E2E78" w:rsidRDefault="00BA7213" w:rsidP="009E2E78">
      <w:pPr>
        <w:jc w:val="both"/>
        <w:rPr>
          <w:b/>
        </w:rPr>
      </w:pPr>
      <w:r w:rsidRPr="009E2E78">
        <w:rPr>
          <w:b/>
        </w:rPr>
        <w:t xml:space="preserve">2. </w:t>
      </w:r>
      <w:r w:rsidR="00C42F2E" w:rsidRPr="009E2E78">
        <w:rPr>
          <w:b/>
        </w:rPr>
        <w:t>CONTEXTO</w:t>
      </w:r>
    </w:p>
    <w:p w:rsidR="00C616DC" w:rsidRDefault="00C616DC" w:rsidP="009E2E78">
      <w:pPr>
        <w:jc w:val="both"/>
      </w:pPr>
      <w:r>
        <w:t>El LO se inserta como estructura de cursos de formación virtuales del área de nuevas tecnologías</w:t>
      </w:r>
      <w:r w:rsidR="00F06474">
        <w:t xml:space="preserve">. En la implementación posterior </w:t>
      </w:r>
      <w:r w:rsidR="00243B9C">
        <w:t xml:space="preserve">(pec3) </w:t>
      </w:r>
      <w:r w:rsidR="00F06474">
        <w:t xml:space="preserve">se podría desarrollar </w:t>
      </w:r>
      <w:r>
        <w:t xml:space="preserve"> sobre</w:t>
      </w:r>
      <w:r w:rsidR="00F53012">
        <w:t xml:space="preserve"> el uso y manejo de </w:t>
      </w:r>
      <w:r w:rsidR="00243B9C">
        <w:t xml:space="preserve">las nuevas tecnologías concretamente las </w:t>
      </w:r>
      <w:r w:rsidR="00F53012">
        <w:t>pizarras digitales interactivas</w:t>
      </w:r>
      <w:r w:rsidR="00243B9C">
        <w:t>.</w:t>
      </w:r>
      <w:r>
        <w:t xml:space="preserve"> </w:t>
      </w:r>
      <w:r w:rsidR="00243B9C">
        <w:t xml:space="preserve"> D</w:t>
      </w:r>
      <w:r w:rsidR="00F53012">
        <w:t>estinado t</w:t>
      </w:r>
      <w:r w:rsidR="00243B9C">
        <w:t>anto a docentes como discentes para lo cual crearemos diversos objetos de aprendizaje que a modo de lecciones o temas, vayan recorriendo los diversos conocimientos que deseamos adquieran los alumnos.</w:t>
      </w:r>
    </w:p>
    <w:p w:rsidR="00A075C2" w:rsidRPr="009E2E78" w:rsidRDefault="00BA7213" w:rsidP="009E2E78">
      <w:pPr>
        <w:jc w:val="both"/>
        <w:rPr>
          <w:b/>
        </w:rPr>
      </w:pPr>
      <w:r w:rsidRPr="009E2E78">
        <w:rPr>
          <w:b/>
        </w:rPr>
        <w:t xml:space="preserve">3. </w:t>
      </w:r>
      <w:r w:rsidR="00C42F2E" w:rsidRPr="009E2E78">
        <w:rPr>
          <w:b/>
        </w:rPr>
        <w:t xml:space="preserve">ÁREA DE CONTENIDO </w:t>
      </w:r>
    </w:p>
    <w:p w:rsidR="00BA7213" w:rsidRDefault="00A075C2" w:rsidP="009E2E78">
      <w:pPr>
        <w:jc w:val="both"/>
      </w:pPr>
      <w:r>
        <w:t xml:space="preserve">Nuestro objeto de aprendizaje será la estructura mínima independiente que mediante cuatro ítems (objetivos, </w:t>
      </w:r>
      <w:r w:rsidR="003C5CDE">
        <w:t>teoría/</w:t>
      </w:r>
      <w:r>
        <w:t>contenidos</w:t>
      </w:r>
      <w:r w:rsidR="003202DF">
        <w:t>/desarrollo</w:t>
      </w:r>
      <w:r w:rsidR="00BA7213">
        <w:t>,</w:t>
      </w:r>
      <w:r>
        <w:t xml:space="preserve"> aplicación</w:t>
      </w:r>
      <w:r w:rsidR="003C5CDE">
        <w:t>/experimentación</w:t>
      </w:r>
      <w:r>
        <w:t xml:space="preserve"> y evaluación), guiará al estud</w:t>
      </w:r>
      <w:r w:rsidR="003202DF">
        <w:t>iante durante el aprendizaje.</w:t>
      </w:r>
      <w:r w:rsidR="00A25EAC">
        <w:t xml:space="preserve"> Hay otros ítems que podemos considerar como el de colaboración para la interacción entre usuarios e ítems de relación con ligas a otros OAs.</w:t>
      </w:r>
    </w:p>
    <w:p w:rsidR="00BA7213" w:rsidRDefault="00BA7213" w:rsidP="009E2E78">
      <w:pPr>
        <w:jc w:val="both"/>
      </w:pPr>
      <w:r>
        <w:rPr>
          <w:noProof/>
          <w:lang w:eastAsia="es-ES"/>
        </w:rPr>
        <w:drawing>
          <wp:inline distT="0" distB="0" distL="0" distR="0">
            <wp:extent cx="5486400" cy="3200400"/>
            <wp:effectExtent l="0" t="0" r="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075C2" w:rsidRPr="00A075C2" w:rsidRDefault="00A075C2" w:rsidP="009E2E78">
      <w:pPr>
        <w:jc w:val="both"/>
      </w:pPr>
      <w:r>
        <w:lastRenderedPageBreak/>
        <w:t xml:space="preserve">Este </w:t>
      </w:r>
      <w:r w:rsidR="003202DF">
        <w:t xml:space="preserve">aprendizaje mediante </w:t>
      </w:r>
      <w:r>
        <w:t>LO se</w:t>
      </w:r>
      <w:r w:rsidR="00BA7213">
        <w:t xml:space="preserve"> podrá</w:t>
      </w:r>
      <w:r>
        <w:t xml:space="preserve"> desarroll</w:t>
      </w:r>
      <w:r w:rsidR="00BA7213">
        <w:t>ar</w:t>
      </w:r>
      <w:r>
        <w:t xml:space="preserve"> con el uso de las TIC’s en u</w:t>
      </w:r>
      <w:r w:rsidRPr="00A075C2">
        <w:t>n curso de formación online</w:t>
      </w:r>
      <w:r w:rsidR="003202DF">
        <w:t xml:space="preserve"> buscando trabajar y fortalecer </w:t>
      </w:r>
      <w:r w:rsidRPr="00A075C2">
        <w:t xml:space="preserve"> el uso</w:t>
      </w:r>
      <w:r w:rsidR="003202DF">
        <w:t xml:space="preserve"> y manejo</w:t>
      </w:r>
      <w:r w:rsidRPr="00A075C2">
        <w:t xml:space="preserve"> de pizarras digitales</w:t>
      </w:r>
      <w:r w:rsidR="003202DF">
        <w:t xml:space="preserve"> interactivas. Cada LO estará estructurado como muestra la figura anterior y abarcarán una serie de contenidos a través de texto, imágenes, animaciones, videos y sonido distribuidos en </w:t>
      </w:r>
      <w:r w:rsidRPr="00A075C2">
        <w:t>temas</w:t>
      </w:r>
      <w:r w:rsidR="003202DF">
        <w:t xml:space="preserve"> o lecciones</w:t>
      </w:r>
      <w:r w:rsidR="00BA7213">
        <w:t xml:space="preserve"> construidos por diversos objetos de aprendizaje</w:t>
      </w:r>
      <w:r w:rsidR="00243B9C">
        <w:t xml:space="preserve"> como </w:t>
      </w:r>
      <w:r w:rsidR="003202DF">
        <w:t xml:space="preserve">ya </w:t>
      </w:r>
      <w:r w:rsidR="00243B9C">
        <w:t>mencion</w:t>
      </w:r>
      <w:r w:rsidR="003202DF">
        <w:t>a</w:t>
      </w:r>
      <w:r w:rsidR="00243B9C">
        <w:t>ba</w:t>
      </w:r>
      <w:r w:rsidRPr="00A075C2">
        <w:t xml:space="preserve">. </w:t>
      </w:r>
    </w:p>
    <w:p w:rsidR="00243B9C" w:rsidRDefault="003202DF" w:rsidP="009E2E78">
      <w:pPr>
        <w:jc w:val="both"/>
      </w:pPr>
      <w:r>
        <w:t>Además e</w:t>
      </w:r>
      <w:r w:rsidR="00BA7213">
        <w:t xml:space="preserve">stos objetos de aprendizaje podrán ser colgados en un </w:t>
      </w:r>
      <w:r w:rsidR="00A075C2" w:rsidRPr="00A075C2">
        <w:t xml:space="preserve">campus </w:t>
      </w:r>
      <w:r w:rsidR="00BA7213">
        <w:t>que permita</w:t>
      </w:r>
      <w:r w:rsidR="00A075C2" w:rsidRPr="00A075C2">
        <w:t xml:space="preserve"> al alu</w:t>
      </w:r>
      <w:r w:rsidR="00BA7213">
        <w:t>mno interactuar y no sólo mirar. S</w:t>
      </w:r>
      <w:r w:rsidR="00A075C2" w:rsidRPr="00A075C2">
        <w:t>olamente se necesita un ordenador con conexión a internet.  Horario del curso totalmente flexible ofreciendo la posibilidad de que los alumnos avancen a su ritmo y que cada uno eli</w:t>
      </w:r>
      <w:r>
        <w:t>ja su horario para la formación posibilitando su reutilización interoperabilidad, accesibilidad y duración en el tiempo.</w:t>
      </w:r>
    </w:p>
    <w:p w:rsidR="00A075C2" w:rsidRPr="009E2E78" w:rsidRDefault="00BA7213" w:rsidP="009E2E78">
      <w:pPr>
        <w:jc w:val="both"/>
        <w:rPr>
          <w:b/>
        </w:rPr>
      </w:pPr>
      <w:r w:rsidRPr="009E2E78">
        <w:rPr>
          <w:b/>
        </w:rPr>
        <w:t xml:space="preserve">4. </w:t>
      </w:r>
      <w:r w:rsidR="00C42F2E" w:rsidRPr="009E2E78">
        <w:rPr>
          <w:b/>
        </w:rPr>
        <w:t>POBLACIÓN DESTINATARIA</w:t>
      </w:r>
      <w:r w:rsidR="00A075C2" w:rsidRPr="009E2E78">
        <w:rPr>
          <w:b/>
        </w:rPr>
        <w:t xml:space="preserve"> </w:t>
      </w:r>
    </w:p>
    <w:p w:rsidR="003202DF" w:rsidRDefault="003202DF" w:rsidP="009E2E78">
      <w:pPr>
        <w:jc w:val="both"/>
      </w:pPr>
      <w:r>
        <w:t>Destinado t</w:t>
      </w:r>
      <w:r w:rsidR="00A075C2">
        <w:t>anto a maestros de educación infantil y primaria,  profesores de secundaria, universitarios, formadores profesionales, monitores, profesores de aut</w:t>
      </w:r>
      <w:r>
        <w:t>oescuelas, academias, etc., c</w:t>
      </w:r>
      <w:r w:rsidR="00A075C2">
        <w:t xml:space="preserve">omo a estudiantes de cualquier grado y especialidad posibilitando </w:t>
      </w:r>
      <w:r>
        <w:t xml:space="preserve">igualmente </w:t>
      </w:r>
      <w:r w:rsidR="00A075C2">
        <w:t>en dicha poblaci</w:t>
      </w:r>
      <w:r>
        <w:t>ón la reutilización, interoperabil</w:t>
      </w:r>
      <w:r w:rsidR="00A075C2">
        <w:t>idad, accesi</w:t>
      </w:r>
      <w:r w:rsidR="00F06474">
        <w:t>bilidad y duración en el tiempo.</w:t>
      </w:r>
      <w:r>
        <w:t xml:space="preserve"> </w:t>
      </w:r>
    </w:p>
    <w:p w:rsidR="00A075C2" w:rsidRDefault="003202DF" w:rsidP="009E2E78">
      <w:pPr>
        <w:jc w:val="both"/>
      </w:pPr>
      <w:r>
        <w:t xml:space="preserve">Hablamos por tanto de un perfil poblacional a partir de 18 años. </w:t>
      </w:r>
    </w:p>
    <w:p w:rsidR="00243B9C" w:rsidRDefault="003202DF" w:rsidP="009E2E78">
      <w:pPr>
        <w:jc w:val="both"/>
      </w:pPr>
      <w:r>
        <w:t>En lo referente a los r</w:t>
      </w:r>
      <w:r w:rsidR="00243B9C">
        <w:t>equisitos</w:t>
      </w:r>
      <w:r>
        <w:t>, éstos</w:t>
      </w:r>
      <w:r w:rsidR="00243B9C">
        <w:t xml:space="preserve"> serán </w:t>
      </w:r>
      <w:r>
        <w:t xml:space="preserve">poseer </w:t>
      </w:r>
      <w:r w:rsidR="00243B9C">
        <w:t xml:space="preserve">conocimientos previos de sistema operativo ya sea Windows, Linux, Mac, conocimientos de procesador de textos y disponer de java script y paquete adobe instalado en el equipo. </w:t>
      </w:r>
    </w:p>
    <w:p w:rsidR="00C42F2E" w:rsidRPr="009E2E78" w:rsidRDefault="00BA7213" w:rsidP="009E2E78">
      <w:pPr>
        <w:jc w:val="both"/>
        <w:rPr>
          <w:b/>
        </w:rPr>
      </w:pPr>
      <w:r w:rsidRPr="009E2E78">
        <w:rPr>
          <w:b/>
        </w:rPr>
        <w:t xml:space="preserve">5. </w:t>
      </w:r>
      <w:r w:rsidR="00C42F2E" w:rsidRPr="009E2E78">
        <w:rPr>
          <w:b/>
        </w:rPr>
        <w:t>ENFOQUE METODOLÓGICO DEL OA</w:t>
      </w:r>
    </w:p>
    <w:p w:rsidR="005976D5" w:rsidRDefault="005976D5" w:rsidP="009E2E78">
      <w:pPr>
        <w:jc w:val="both"/>
      </w:pPr>
      <w:r>
        <w:t>Abarcando una m</w:t>
      </w:r>
      <w:r w:rsidR="00A075C2" w:rsidRPr="00A075C2">
        <w:t>etodología de formación e-learning –asincrónico salvo en las</w:t>
      </w:r>
      <w:r>
        <w:t xml:space="preserve"> posibles</w:t>
      </w:r>
      <w:r w:rsidR="00A075C2" w:rsidRPr="00A075C2">
        <w:t xml:space="preserve"> tutorías online</w:t>
      </w:r>
      <w:r>
        <w:t xml:space="preserve"> según la implementación deseada</w:t>
      </w:r>
      <w:r w:rsidR="00A075C2" w:rsidRPr="00A075C2">
        <w:t>- y  basado</w:t>
      </w:r>
      <w:r>
        <w:t xml:space="preserve"> como opción</w:t>
      </w:r>
      <w:r w:rsidR="00A075C2" w:rsidRPr="00A075C2">
        <w:t xml:space="preserve"> en una plataforma educativa que se caracteriza por incorporar las Nuevas Tecnologías de la Información y Comunicación en el p</w:t>
      </w:r>
      <w:r>
        <w:t>roceso de enseñanza-aprendizaje nuestro Objeto de aprendizaje en su metodología respetará tres características:</w:t>
      </w:r>
    </w:p>
    <w:p w:rsidR="005976D5" w:rsidRDefault="005976D5" w:rsidP="009E2E78">
      <w:pPr>
        <w:jc w:val="both"/>
      </w:pPr>
      <w:r>
        <w:t>Accesibilidad: para lo cual será etiquetado permitiendo su almacenamiento y referencia</w:t>
      </w:r>
    </w:p>
    <w:p w:rsidR="005976D5" w:rsidRDefault="005976D5" w:rsidP="009E2E78">
      <w:pPr>
        <w:jc w:val="both"/>
      </w:pPr>
      <w:r>
        <w:t>Reusabilidad/</w:t>
      </w:r>
      <w:r w:rsidR="00F10102">
        <w:t>Adaptabilidad</w:t>
      </w:r>
      <w:r>
        <w:t>: será funcional para varios contextos de aprendizaje</w:t>
      </w:r>
    </w:p>
    <w:p w:rsidR="00A075C2" w:rsidRDefault="005976D5" w:rsidP="009E2E78">
      <w:pPr>
        <w:jc w:val="both"/>
      </w:pPr>
      <w:r>
        <w:t xml:space="preserve">Interoperabilidad: independiente del medio de entrega y del sistema de administración de aprendizaje. </w:t>
      </w:r>
    </w:p>
    <w:p w:rsidR="005976D5" w:rsidRDefault="005976D5" w:rsidP="009E2E78">
      <w:pPr>
        <w:jc w:val="both"/>
      </w:pPr>
      <w:r>
        <w:t>El tipo de OA que más usaremos es el de combinación cerrada</w:t>
      </w:r>
      <w:r w:rsidR="006A042B">
        <w:t>,</w:t>
      </w:r>
      <w:r>
        <w:t xml:space="preserve"> Un conjunto de recursos digitales combinados por el autor en el momento del diseño del OA. Por ej</w:t>
      </w:r>
      <w:r w:rsidR="0057662B">
        <w:t>e</w:t>
      </w:r>
      <w:r>
        <w:t>mplo un video en flash que combina audio y video sin poder dar acceso independiente a cada uno</w:t>
      </w:r>
      <w:r w:rsidR="0057662B">
        <w:t xml:space="preserve"> y el otro t</w:t>
      </w:r>
      <w:r w:rsidR="006A042B">
        <w:t>ipo de generativa instruccional para evaluar la capacidad del alumno.</w:t>
      </w:r>
    </w:p>
    <w:p w:rsidR="00B05269" w:rsidRDefault="00B05269" w:rsidP="009E2E78">
      <w:pPr>
        <w:jc w:val="both"/>
        <w:rPr>
          <w:b/>
        </w:rPr>
      </w:pPr>
    </w:p>
    <w:p w:rsidR="00C42F2E" w:rsidRPr="009E2E78" w:rsidRDefault="00BA7213" w:rsidP="009E2E78">
      <w:pPr>
        <w:jc w:val="both"/>
        <w:rPr>
          <w:b/>
        </w:rPr>
      </w:pPr>
      <w:r w:rsidRPr="009E2E78">
        <w:rPr>
          <w:b/>
        </w:rPr>
        <w:lastRenderedPageBreak/>
        <w:t xml:space="preserve">6. </w:t>
      </w:r>
      <w:r w:rsidR="00C42F2E" w:rsidRPr="009E2E78">
        <w:rPr>
          <w:b/>
        </w:rPr>
        <w:t>BASES PEDAGÓGICAS SUBYACENTES AL MATERIAL</w:t>
      </w:r>
    </w:p>
    <w:p w:rsidR="00785F8F" w:rsidRDefault="00785F8F" w:rsidP="009E2E78">
      <w:pPr>
        <w:spacing w:after="0" w:line="240" w:lineRule="auto"/>
        <w:jc w:val="both"/>
        <w:rPr>
          <w:rFonts w:eastAsia="Times New Roman" w:cstheme="minorHAnsi"/>
          <w:szCs w:val="18"/>
          <w:lang w:eastAsia="es-ES"/>
        </w:rPr>
      </w:pPr>
      <w:r w:rsidRPr="00785F8F">
        <w:rPr>
          <w:rFonts w:eastAsia="Times New Roman" w:cstheme="minorHAnsi"/>
          <w:szCs w:val="18"/>
          <w:lang w:eastAsia="es-ES"/>
        </w:rPr>
        <w:t>Las tecnologías de</w:t>
      </w:r>
      <w:r w:rsidRPr="00785F8F">
        <w:rPr>
          <w:rFonts w:eastAsia="Times New Roman" w:cstheme="minorHAnsi"/>
          <w:lang w:eastAsia="es-ES"/>
        </w:rPr>
        <w:t> </w:t>
      </w:r>
      <w:r w:rsidRPr="00785F8F">
        <w:rPr>
          <w:rFonts w:eastAsia="Times New Roman" w:cstheme="minorHAnsi"/>
          <w:b/>
          <w:bCs/>
          <w:lang w:eastAsia="es-ES"/>
        </w:rPr>
        <w:t>Objetos de Aprendizaje</w:t>
      </w:r>
      <w:r w:rsidRPr="00785F8F">
        <w:rPr>
          <w:rFonts w:eastAsia="Times New Roman" w:cstheme="minorHAnsi"/>
          <w:lang w:eastAsia="es-ES"/>
        </w:rPr>
        <w:t> </w:t>
      </w:r>
      <w:r w:rsidRPr="00785F8F">
        <w:rPr>
          <w:rFonts w:eastAsia="Times New Roman" w:cstheme="minorHAnsi"/>
          <w:szCs w:val="18"/>
          <w:lang w:eastAsia="es-ES"/>
        </w:rPr>
        <w:t>(OA's), han surgido como una potente opción para desarrollar las capacidades docentes de las instituciones de educación, pues recogen varios de los paradigmas actuales respecto de:</w:t>
      </w:r>
    </w:p>
    <w:p w:rsidR="00785F8F" w:rsidRPr="00785F8F" w:rsidRDefault="00785F8F" w:rsidP="009E2E78">
      <w:pPr>
        <w:spacing w:after="0" w:line="240" w:lineRule="auto"/>
        <w:jc w:val="both"/>
        <w:rPr>
          <w:rFonts w:eastAsia="Times New Roman" w:cstheme="minorHAnsi"/>
          <w:szCs w:val="18"/>
          <w:lang w:eastAsia="es-ES"/>
        </w:rPr>
      </w:pPr>
    </w:p>
    <w:p w:rsidR="00785F8F" w:rsidRPr="00785F8F" w:rsidRDefault="00785F8F" w:rsidP="009E2E78">
      <w:pPr>
        <w:numPr>
          <w:ilvl w:val="0"/>
          <w:numId w:val="9"/>
        </w:numPr>
        <w:spacing w:after="0" w:line="240" w:lineRule="auto"/>
        <w:ind w:left="480"/>
        <w:jc w:val="both"/>
        <w:rPr>
          <w:rFonts w:eastAsia="Times New Roman" w:cstheme="minorHAnsi"/>
          <w:szCs w:val="18"/>
          <w:lang w:eastAsia="es-ES"/>
        </w:rPr>
      </w:pPr>
      <w:r w:rsidRPr="00785F8F">
        <w:rPr>
          <w:rFonts w:eastAsia="Times New Roman" w:cstheme="minorHAnsi"/>
          <w:szCs w:val="18"/>
          <w:lang w:eastAsia="es-ES"/>
        </w:rPr>
        <w:t>La</w:t>
      </w:r>
      <w:r w:rsidRPr="00785F8F">
        <w:rPr>
          <w:rFonts w:eastAsia="Times New Roman" w:cstheme="minorHAnsi"/>
          <w:lang w:eastAsia="es-ES"/>
        </w:rPr>
        <w:t> </w:t>
      </w:r>
      <w:r w:rsidRPr="00785F8F">
        <w:rPr>
          <w:rFonts w:eastAsia="Times New Roman" w:cstheme="minorHAnsi"/>
          <w:b/>
          <w:bCs/>
          <w:lang w:eastAsia="es-ES"/>
        </w:rPr>
        <w:t>organización</w:t>
      </w:r>
      <w:r w:rsidRPr="00785F8F">
        <w:rPr>
          <w:rFonts w:eastAsia="Times New Roman" w:cstheme="minorHAnsi"/>
          <w:lang w:eastAsia="es-ES"/>
        </w:rPr>
        <w:t> </w:t>
      </w:r>
      <w:r w:rsidRPr="00785F8F">
        <w:rPr>
          <w:rFonts w:eastAsia="Times New Roman" w:cstheme="minorHAnsi"/>
          <w:szCs w:val="18"/>
          <w:lang w:eastAsia="es-ES"/>
        </w:rPr>
        <w:t>de contenidos.</w:t>
      </w:r>
    </w:p>
    <w:p w:rsidR="00785F8F" w:rsidRPr="00785F8F" w:rsidRDefault="00785F8F" w:rsidP="009E2E78">
      <w:pPr>
        <w:numPr>
          <w:ilvl w:val="0"/>
          <w:numId w:val="10"/>
        </w:numPr>
        <w:spacing w:after="0" w:line="240" w:lineRule="auto"/>
        <w:ind w:left="480"/>
        <w:jc w:val="both"/>
        <w:rPr>
          <w:rFonts w:eastAsia="Times New Roman" w:cstheme="minorHAnsi"/>
          <w:szCs w:val="18"/>
          <w:lang w:eastAsia="es-ES"/>
        </w:rPr>
      </w:pPr>
      <w:r w:rsidRPr="00785F8F">
        <w:rPr>
          <w:rFonts w:eastAsia="Times New Roman" w:cstheme="minorHAnsi"/>
          <w:szCs w:val="18"/>
          <w:lang w:eastAsia="es-ES"/>
        </w:rPr>
        <w:t>La necesidad de una educación</w:t>
      </w:r>
      <w:r w:rsidRPr="00785F8F">
        <w:rPr>
          <w:rFonts w:eastAsia="Times New Roman" w:cstheme="minorHAnsi"/>
          <w:b/>
          <w:bCs/>
          <w:lang w:eastAsia="es-ES"/>
        </w:rPr>
        <w:t> modular</w:t>
      </w:r>
      <w:r w:rsidRPr="00785F8F">
        <w:rPr>
          <w:rFonts w:eastAsia="Times New Roman" w:cstheme="minorHAnsi"/>
          <w:szCs w:val="18"/>
          <w:lang w:eastAsia="es-ES"/>
        </w:rPr>
        <w:t>.</w:t>
      </w:r>
    </w:p>
    <w:p w:rsidR="00785F8F" w:rsidRPr="00785F8F" w:rsidRDefault="00785F8F" w:rsidP="009E2E78">
      <w:pPr>
        <w:numPr>
          <w:ilvl w:val="0"/>
          <w:numId w:val="11"/>
        </w:numPr>
        <w:spacing w:after="0" w:line="240" w:lineRule="auto"/>
        <w:ind w:left="480"/>
        <w:jc w:val="both"/>
        <w:rPr>
          <w:rFonts w:eastAsia="Times New Roman" w:cstheme="minorHAnsi"/>
          <w:szCs w:val="18"/>
          <w:lang w:eastAsia="es-ES"/>
        </w:rPr>
      </w:pPr>
      <w:r w:rsidRPr="00785F8F">
        <w:rPr>
          <w:rFonts w:eastAsia="Times New Roman" w:cstheme="minorHAnsi"/>
          <w:szCs w:val="18"/>
          <w:lang w:eastAsia="es-ES"/>
        </w:rPr>
        <w:t>La potenciación</w:t>
      </w:r>
      <w:r w:rsidRPr="00785F8F">
        <w:rPr>
          <w:rFonts w:eastAsia="Times New Roman" w:cstheme="minorHAnsi"/>
          <w:lang w:eastAsia="es-ES"/>
        </w:rPr>
        <w:t> </w:t>
      </w:r>
      <w:r w:rsidRPr="00785F8F">
        <w:rPr>
          <w:rFonts w:eastAsia="Times New Roman" w:cstheme="minorHAnsi"/>
          <w:b/>
          <w:bCs/>
          <w:lang w:eastAsia="es-ES"/>
        </w:rPr>
        <w:t>interdisciplinaria</w:t>
      </w:r>
      <w:r w:rsidRPr="00785F8F">
        <w:rPr>
          <w:rFonts w:eastAsia="Times New Roman" w:cstheme="minorHAnsi"/>
          <w:lang w:eastAsia="es-ES"/>
        </w:rPr>
        <w:t> </w:t>
      </w:r>
      <w:r w:rsidRPr="00785F8F">
        <w:rPr>
          <w:rFonts w:eastAsia="Times New Roman" w:cstheme="minorHAnsi"/>
          <w:szCs w:val="18"/>
          <w:lang w:eastAsia="es-ES"/>
        </w:rPr>
        <w:t>del conocimiento.</w:t>
      </w:r>
    </w:p>
    <w:p w:rsidR="00785F8F" w:rsidRPr="00785F8F" w:rsidRDefault="00785F8F" w:rsidP="009E2E78">
      <w:pPr>
        <w:numPr>
          <w:ilvl w:val="0"/>
          <w:numId w:val="12"/>
        </w:numPr>
        <w:spacing w:after="0" w:line="240" w:lineRule="auto"/>
        <w:ind w:left="480"/>
        <w:jc w:val="both"/>
        <w:rPr>
          <w:rFonts w:eastAsia="Times New Roman" w:cstheme="minorHAnsi"/>
          <w:szCs w:val="18"/>
          <w:lang w:eastAsia="es-ES"/>
        </w:rPr>
      </w:pPr>
      <w:r w:rsidRPr="00785F8F">
        <w:rPr>
          <w:rFonts w:eastAsia="Times New Roman" w:cstheme="minorHAnsi"/>
          <w:szCs w:val="18"/>
          <w:lang w:eastAsia="es-ES"/>
        </w:rPr>
        <w:t>La</w:t>
      </w:r>
      <w:r w:rsidRPr="00785F8F">
        <w:rPr>
          <w:rFonts w:eastAsia="Times New Roman" w:cstheme="minorHAnsi"/>
          <w:b/>
          <w:bCs/>
          <w:lang w:eastAsia="es-ES"/>
        </w:rPr>
        <w:t> reutilización</w:t>
      </w:r>
      <w:r w:rsidRPr="00785F8F">
        <w:rPr>
          <w:rFonts w:eastAsia="Times New Roman" w:cstheme="minorHAnsi"/>
          <w:lang w:eastAsia="es-ES"/>
        </w:rPr>
        <w:t> </w:t>
      </w:r>
      <w:r w:rsidRPr="00785F8F">
        <w:rPr>
          <w:rFonts w:eastAsia="Times New Roman" w:cstheme="minorHAnsi"/>
          <w:szCs w:val="18"/>
          <w:lang w:eastAsia="es-ES"/>
        </w:rPr>
        <w:t>y uso múltiple de los recursos docentes.</w:t>
      </w:r>
    </w:p>
    <w:p w:rsidR="00785F8F" w:rsidRPr="00785F8F" w:rsidRDefault="00785F8F" w:rsidP="009E2E78">
      <w:pPr>
        <w:numPr>
          <w:ilvl w:val="0"/>
          <w:numId w:val="13"/>
        </w:numPr>
        <w:spacing w:after="0" w:line="240" w:lineRule="auto"/>
        <w:ind w:left="480"/>
        <w:jc w:val="both"/>
        <w:rPr>
          <w:rFonts w:eastAsia="Times New Roman" w:cstheme="minorHAnsi"/>
          <w:szCs w:val="18"/>
          <w:lang w:eastAsia="es-ES"/>
        </w:rPr>
      </w:pPr>
      <w:r w:rsidRPr="00785F8F">
        <w:rPr>
          <w:rFonts w:eastAsia="Times New Roman" w:cstheme="minorHAnsi"/>
          <w:szCs w:val="18"/>
          <w:lang w:eastAsia="es-ES"/>
        </w:rPr>
        <w:t>La orientación del esfuerzo educativo hacia el desarrollo de</w:t>
      </w:r>
      <w:r w:rsidRPr="00785F8F">
        <w:rPr>
          <w:rFonts w:eastAsia="Times New Roman" w:cstheme="minorHAnsi"/>
          <w:lang w:eastAsia="es-ES"/>
        </w:rPr>
        <w:t> </w:t>
      </w:r>
      <w:r w:rsidRPr="00785F8F">
        <w:rPr>
          <w:rFonts w:eastAsia="Times New Roman" w:cstheme="minorHAnsi"/>
          <w:b/>
          <w:bCs/>
          <w:lang w:eastAsia="es-ES"/>
        </w:rPr>
        <w:t>competencias</w:t>
      </w:r>
      <w:r w:rsidRPr="00785F8F">
        <w:rPr>
          <w:rFonts w:eastAsia="Times New Roman" w:cstheme="minorHAnsi"/>
          <w:lang w:eastAsia="es-ES"/>
        </w:rPr>
        <w:t> </w:t>
      </w:r>
      <w:r w:rsidRPr="00785F8F">
        <w:rPr>
          <w:rFonts w:eastAsia="Times New Roman" w:cstheme="minorHAnsi"/>
          <w:szCs w:val="18"/>
          <w:lang w:eastAsia="es-ES"/>
        </w:rPr>
        <w:t>concretas y explícitas.</w:t>
      </w:r>
    </w:p>
    <w:p w:rsidR="00785F8F" w:rsidRPr="00785F8F" w:rsidRDefault="00785F8F" w:rsidP="009E2E78">
      <w:pPr>
        <w:numPr>
          <w:ilvl w:val="0"/>
          <w:numId w:val="14"/>
        </w:numPr>
        <w:spacing w:after="0" w:line="240" w:lineRule="auto"/>
        <w:ind w:left="480"/>
        <w:jc w:val="both"/>
        <w:rPr>
          <w:rFonts w:eastAsia="Times New Roman" w:cstheme="minorHAnsi"/>
          <w:szCs w:val="18"/>
          <w:lang w:eastAsia="es-ES"/>
        </w:rPr>
      </w:pPr>
      <w:r w:rsidRPr="00785F8F">
        <w:rPr>
          <w:rFonts w:eastAsia="Times New Roman" w:cstheme="minorHAnsi"/>
          <w:szCs w:val="18"/>
          <w:lang w:eastAsia="es-ES"/>
        </w:rPr>
        <w:t>La facilitación del acceso de los estudiantes a los contenidos a través del uso intensivo de las</w:t>
      </w:r>
      <w:r w:rsidRPr="00785F8F">
        <w:rPr>
          <w:rFonts w:eastAsia="Times New Roman" w:cstheme="minorHAnsi"/>
          <w:lang w:eastAsia="es-ES"/>
        </w:rPr>
        <w:t> </w:t>
      </w:r>
      <w:r w:rsidRPr="00785F8F">
        <w:rPr>
          <w:rFonts w:eastAsia="Times New Roman" w:cstheme="minorHAnsi"/>
          <w:b/>
          <w:bCs/>
          <w:lang w:eastAsia="es-ES"/>
        </w:rPr>
        <w:t>TIC’s</w:t>
      </w:r>
      <w:r w:rsidRPr="00785F8F">
        <w:rPr>
          <w:rFonts w:eastAsia="Times New Roman" w:cstheme="minorHAnsi"/>
          <w:szCs w:val="18"/>
          <w:lang w:eastAsia="es-ES"/>
        </w:rPr>
        <w:t>.</w:t>
      </w:r>
    </w:p>
    <w:p w:rsidR="00785F8F" w:rsidRPr="00785F8F" w:rsidRDefault="00785F8F" w:rsidP="009E2E78">
      <w:pPr>
        <w:numPr>
          <w:ilvl w:val="0"/>
          <w:numId w:val="15"/>
        </w:numPr>
        <w:spacing w:after="0" w:line="240" w:lineRule="auto"/>
        <w:ind w:left="480"/>
        <w:jc w:val="both"/>
        <w:rPr>
          <w:rFonts w:eastAsia="Times New Roman" w:cstheme="minorHAnsi"/>
          <w:szCs w:val="18"/>
          <w:lang w:eastAsia="es-ES"/>
        </w:rPr>
      </w:pPr>
      <w:r w:rsidRPr="00785F8F">
        <w:rPr>
          <w:rFonts w:eastAsia="Times New Roman" w:cstheme="minorHAnsi"/>
          <w:szCs w:val="18"/>
          <w:lang w:eastAsia="es-ES"/>
        </w:rPr>
        <w:t>La necesidad de potenciar los métodos de</w:t>
      </w:r>
      <w:r w:rsidRPr="00785F8F">
        <w:rPr>
          <w:rFonts w:eastAsia="Times New Roman" w:cstheme="minorHAnsi"/>
          <w:lang w:eastAsia="es-ES"/>
        </w:rPr>
        <w:t> </w:t>
      </w:r>
      <w:r w:rsidRPr="00785F8F">
        <w:rPr>
          <w:rFonts w:eastAsia="Times New Roman" w:cstheme="minorHAnsi"/>
          <w:b/>
          <w:bCs/>
          <w:lang w:eastAsia="es-ES"/>
        </w:rPr>
        <w:t>enseñanza/aprendizaje</w:t>
      </w:r>
      <w:r w:rsidRPr="00785F8F">
        <w:rPr>
          <w:rFonts w:eastAsia="Times New Roman" w:cstheme="minorHAnsi"/>
          <w:lang w:eastAsia="es-ES"/>
        </w:rPr>
        <w:t> </w:t>
      </w:r>
      <w:r w:rsidRPr="00785F8F">
        <w:rPr>
          <w:rFonts w:eastAsia="Times New Roman" w:cstheme="minorHAnsi"/>
          <w:szCs w:val="18"/>
          <w:lang w:eastAsia="es-ES"/>
        </w:rPr>
        <w:t>dando más protagonismo al estudiante.</w:t>
      </w:r>
    </w:p>
    <w:p w:rsidR="00785F8F" w:rsidRPr="00785F8F" w:rsidRDefault="00785F8F" w:rsidP="009E2E78">
      <w:pPr>
        <w:numPr>
          <w:ilvl w:val="0"/>
          <w:numId w:val="16"/>
        </w:numPr>
        <w:spacing w:after="0" w:line="240" w:lineRule="auto"/>
        <w:ind w:left="480"/>
        <w:jc w:val="both"/>
        <w:rPr>
          <w:rFonts w:eastAsia="Times New Roman" w:cstheme="minorHAnsi"/>
          <w:szCs w:val="18"/>
          <w:lang w:eastAsia="es-ES"/>
        </w:rPr>
      </w:pPr>
      <w:r w:rsidRPr="00785F8F">
        <w:rPr>
          <w:rFonts w:eastAsia="Times New Roman" w:cstheme="minorHAnsi"/>
          <w:szCs w:val="18"/>
          <w:lang w:eastAsia="es-ES"/>
        </w:rPr>
        <w:t>El establecimiento de equivalencias de los esfuerzos</w:t>
      </w:r>
      <w:r w:rsidRPr="00785F8F">
        <w:rPr>
          <w:rFonts w:eastAsia="Times New Roman" w:cstheme="minorHAnsi"/>
          <w:b/>
          <w:bCs/>
          <w:lang w:eastAsia="es-ES"/>
        </w:rPr>
        <w:t> formativos</w:t>
      </w:r>
      <w:r w:rsidRPr="00785F8F">
        <w:rPr>
          <w:rFonts w:eastAsia="Times New Roman" w:cstheme="minorHAnsi"/>
          <w:lang w:eastAsia="es-ES"/>
        </w:rPr>
        <w:t> </w:t>
      </w:r>
      <w:r w:rsidRPr="00785F8F">
        <w:rPr>
          <w:rFonts w:eastAsia="Times New Roman" w:cstheme="minorHAnsi"/>
          <w:szCs w:val="18"/>
          <w:lang w:eastAsia="es-ES"/>
        </w:rPr>
        <w:t>realizados en programas educacionales.</w:t>
      </w:r>
    </w:p>
    <w:p w:rsidR="00785F8F" w:rsidRPr="00785F8F" w:rsidRDefault="00785F8F" w:rsidP="009E2E78">
      <w:pPr>
        <w:numPr>
          <w:ilvl w:val="0"/>
          <w:numId w:val="17"/>
        </w:numPr>
        <w:spacing w:after="0" w:line="240" w:lineRule="auto"/>
        <w:ind w:left="480"/>
        <w:jc w:val="both"/>
        <w:rPr>
          <w:rFonts w:eastAsia="Times New Roman" w:cstheme="minorHAnsi"/>
          <w:szCs w:val="18"/>
          <w:lang w:eastAsia="es-ES"/>
        </w:rPr>
      </w:pPr>
      <w:r w:rsidRPr="00785F8F">
        <w:rPr>
          <w:rFonts w:eastAsia="Times New Roman" w:cstheme="minorHAnsi"/>
          <w:szCs w:val="18"/>
          <w:lang w:eastAsia="es-ES"/>
        </w:rPr>
        <w:t>La</w:t>
      </w:r>
      <w:r w:rsidRPr="00785F8F">
        <w:rPr>
          <w:rFonts w:eastAsia="Times New Roman" w:cstheme="minorHAnsi"/>
          <w:lang w:eastAsia="es-ES"/>
        </w:rPr>
        <w:t> </w:t>
      </w:r>
      <w:r w:rsidRPr="00785F8F">
        <w:rPr>
          <w:rFonts w:eastAsia="Times New Roman" w:cstheme="minorHAnsi"/>
          <w:b/>
          <w:bCs/>
          <w:lang w:eastAsia="es-ES"/>
        </w:rPr>
        <w:t>facilitación</w:t>
      </w:r>
      <w:r w:rsidRPr="00785F8F">
        <w:rPr>
          <w:rFonts w:eastAsia="Times New Roman" w:cstheme="minorHAnsi"/>
          <w:lang w:eastAsia="es-ES"/>
        </w:rPr>
        <w:t> </w:t>
      </w:r>
      <w:r w:rsidRPr="00785F8F">
        <w:rPr>
          <w:rFonts w:eastAsia="Times New Roman" w:cstheme="minorHAnsi"/>
          <w:szCs w:val="18"/>
          <w:lang w:eastAsia="es-ES"/>
        </w:rPr>
        <w:t>de los sistemas de educación continúa</w:t>
      </w:r>
    </w:p>
    <w:p w:rsidR="00BA7213" w:rsidRDefault="00BA7213" w:rsidP="009E2E78">
      <w:pPr>
        <w:jc w:val="both"/>
      </w:pPr>
    </w:p>
    <w:p w:rsidR="006A042B" w:rsidRDefault="006A042B" w:rsidP="009E2E78">
      <w:pPr>
        <w:jc w:val="both"/>
      </w:pPr>
      <w:r>
        <w:t>Una vez observamos como los OA hacen que instituciones de educación desarrollen nuevas capacidades docentes, hemos de mostrar también como el usuario desarrolla gracias a los OA nuevas experiencias de conocimiento.</w:t>
      </w:r>
    </w:p>
    <w:p w:rsidR="006A042B" w:rsidRDefault="006A042B" w:rsidP="009E2E78">
      <w:pPr>
        <w:jc w:val="both"/>
      </w:pPr>
      <w:r>
        <w:t xml:space="preserve">Siguiendo a David Kolb y su teoría de estilos de aprendizaje, éste asume que para adquirir un conocimiento se debe trabajar o </w:t>
      </w:r>
      <w:r w:rsidR="00F10102">
        <w:t>procesar</w:t>
      </w:r>
      <w:r>
        <w:t xml:space="preserve"> la información que se recibe.  La información se puede recibir de dos formas: 1. De la experiencia directa y concreta, ésta se tiene cuando hacemos, visualizamos o experimentamos algo, 2. De una experiencia abstracta, ésta se tiene cuando leemos acerca de algo o cuando alguien nos lo cuenta.</w:t>
      </w:r>
    </w:p>
    <w:p w:rsidR="006A042B" w:rsidRDefault="006A042B" w:rsidP="009E2E78">
      <w:pPr>
        <w:jc w:val="both"/>
      </w:pPr>
      <w:r>
        <w:t xml:space="preserve">La experiencia que se tenga, concreta o abstracta se transforma en conocimiento cuando la procesamos de alguna de estas dos formas: 1. Reflexionando y pensando sobre ellas 2. Experimentando de forma activa con </w:t>
      </w:r>
      <w:r w:rsidR="00F10102">
        <w:t>la</w:t>
      </w:r>
      <w:r>
        <w:t xml:space="preserve"> información recibida.  De este modo se transforma la experiencia en conocimiento.</w:t>
      </w:r>
    </w:p>
    <w:p w:rsidR="00C42F2E" w:rsidRPr="009E2E78" w:rsidRDefault="00BA7213" w:rsidP="009E2E78">
      <w:pPr>
        <w:jc w:val="both"/>
        <w:rPr>
          <w:b/>
        </w:rPr>
      </w:pPr>
      <w:r w:rsidRPr="009E2E78">
        <w:rPr>
          <w:b/>
        </w:rPr>
        <w:t xml:space="preserve">7. </w:t>
      </w:r>
      <w:r w:rsidR="00C42F2E" w:rsidRPr="009E2E78">
        <w:rPr>
          <w:b/>
        </w:rPr>
        <w:t>MODELO DE DISEÑO INSTRUCCIONAL</w:t>
      </w:r>
    </w:p>
    <w:p w:rsidR="00785F8F" w:rsidRDefault="00785F8F" w:rsidP="009E2E78">
      <w:pPr>
        <w:jc w:val="both"/>
      </w:pPr>
      <w:r>
        <w:t xml:space="preserve">Establezco la comparativa con el modelo de instrucción </w:t>
      </w:r>
      <w:r w:rsidRPr="00FD5FB6">
        <w:rPr>
          <w:b/>
        </w:rPr>
        <w:t>ASSURE</w:t>
      </w:r>
      <w:r w:rsidR="003C5CDE">
        <w:rPr>
          <w:b/>
        </w:rPr>
        <w:t xml:space="preserve"> </w:t>
      </w:r>
      <w:r w:rsidR="003C5CDE" w:rsidRPr="003C5CDE">
        <w:t>y sus 6 fases o procedimientos</w:t>
      </w:r>
      <w:r>
        <w:t>;  Analizar a los alumnos, fijar los objetivos, seleccionar los métodos de formación, la tecnología y los medios de distribución de los materiales didácticos, utilizar los medios y los materiales, exigir la participació</w:t>
      </w:r>
      <w:r w:rsidR="003C5CDE">
        <w:t xml:space="preserve">n del alumno, evaluar y revisar la </w:t>
      </w:r>
      <w:r w:rsidR="00F10102">
        <w:t>implementación</w:t>
      </w:r>
      <w:r w:rsidR="003C5CDE">
        <w:t xml:space="preserve"> y resultados del aprendizaje.</w:t>
      </w:r>
    </w:p>
    <w:p w:rsidR="003C5CDE" w:rsidRDefault="003C5CDE" w:rsidP="009E2E78">
      <w:pPr>
        <w:jc w:val="both"/>
      </w:pPr>
      <w:r>
        <w:t xml:space="preserve">La elección de este método en lugar del modelo ADDIE más básico, es que el modelo ASSURE desarrollado por Heinich </w:t>
      </w:r>
      <w:r w:rsidRPr="003C5CDE">
        <w:rPr>
          <w:i/>
        </w:rPr>
        <w:t>et ál</w:t>
      </w:r>
      <w:r>
        <w:t xml:space="preserve"> (1999) tiene sus raíces teóricas en el conductivismo por el énfasis en el logro de objetivos de aprendizaje aún también identificándose rasgos constru</w:t>
      </w:r>
      <w:r w:rsidR="0057662B">
        <w:t>c</w:t>
      </w:r>
      <w:r>
        <w:t>tivistas al preocuparse por la participación activa y comprometida del estudiante.</w:t>
      </w:r>
    </w:p>
    <w:p w:rsidR="00C42F2E" w:rsidRPr="009E2E78" w:rsidRDefault="00BA7213" w:rsidP="009E2E78">
      <w:pPr>
        <w:jc w:val="both"/>
        <w:rPr>
          <w:b/>
        </w:rPr>
      </w:pPr>
      <w:r w:rsidRPr="009E2E78">
        <w:rPr>
          <w:b/>
        </w:rPr>
        <w:lastRenderedPageBreak/>
        <w:t xml:space="preserve">8. </w:t>
      </w:r>
      <w:r w:rsidR="00C42F2E" w:rsidRPr="009E2E78">
        <w:rPr>
          <w:b/>
        </w:rPr>
        <w:t>ESTRUCTURACIÓN DEL OBJETO DE APRENDIZAJE</w:t>
      </w:r>
    </w:p>
    <w:p w:rsidR="00BA7213" w:rsidRDefault="00BA7213" w:rsidP="009E2E78">
      <w:pPr>
        <w:jc w:val="both"/>
      </w:pPr>
      <w:r>
        <w:t>8.1. Objetivos del aprendizaje</w:t>
      </w:r>
    </w:p>
    <w:p w:rsidR="003C24BE" w:rsidRDefault="00785F8F" w:rsidP="009E2E78">
      <w:pPr>
        <w:jc w:val="both"/>
      </w:pPr>
      <w:r w:rsidRPr="00785F8F">
        <w:t>El objet</w:t>
      </w:r>
      <w:r w:rsidR="003C24BE">
        <w:t>ivo principal del objeto de aprendizaje</w:t>
      </w:r>
      <w:r w:rsidRPr="00785F8F">
        <w:t xml:space="preserve"> consiste en conocer los recursos que las Nuevas Tecnologías de la Información y Comunicación repre</w:t>
      </w:r>
      <w:r w:rsidR="003C24BE">
        <w:t>sentan para el sector educativo a través de unos objetivos, un desarrollo, una aplicación y una evaluación del mismo.</w:t>
      </w:r>
    </w:p>
    <w:p w:rsidR="00785F8F" w:rsidRDefault="00785F8F" w:rsidP="009E2E78">
      <w:pPr>
        <w:jc w:val="both"/>
      </w:pPr>
      <w:r w:rsidRPr="00785F8F">
        <w:t xml:space="preserve">Principalmente </w:t>
      </w:r>
      <w:r w:rsidR="003C5CDE">
        <w:t xml:space="preserve">en nuestra implementación </w:t>
      </w:r>
      <w:r w:rsidRPr="00785F8F">
        <w:t>van a conocer las características y funcionamiento de la Pizarra Interactiva para mejorar la actividad docente</w:t>
      </w:r>
      <w:r>
        <w:t xml:space="preserve"> a través de diversos objetos de apren</w:t>
      </w:r>
      <w:r w:rsidR="003C24BE">
        <w:t>di</w:t>
      </w:r>
      <w:r>
        <w:t>zaje.</w:t>
      </w:r>
    </w:p>
    <w:p w:rsidR="00785F8F" w:rsidRDefault="00785F8F" w:rsidP="009E2E78">
      <w:pPr>
        <w:jc w:val="both"/>
      </w:pPr>
      <w:r>
        <w:t>Opcionalmente</w:t>
      </w:r>
      <w:r w:rsidR="003C24BE">
        <w:t xml:space="preserve"> se puede plantear como propuesta</w:t>
      </w:r>
      <w:r>
        <w:t xml:space="preserve"> la introducción de estos objetos de aprendizaje como elementos de un todo</w:t>
      </w:r>
      <w:r w:rsidR="003C24BE">
        <w:t xml:space="preserve"> (metáforas de los LO)</w:t>
      </w:r>
      <w:r>
        <w:t>, a saber, un curso de formación virtual con MDM que cuenten además con el seguimiento de un tutor.</w:t>
      </w:r>
    </w:p>
    <w:p w:rsidR="00F06474" w:rsidRDefault="00F06474" w:rsidP="009E2E78">
      <w:pPr>
        <w:spacing w:after="0"/>
        <w:jc w:val="both"/>
      </w:pPr>
      <w:r>
        <w:t>Los objetivos de la implementación de los objetos de aprendizaje en el curso serían:</w:t>
      </w:r>
    </w:p>
    <w:p w:rsidR="009E2E78" w:rsidRDefault="00F06474" w:rsidP="009E2E78">
      <w:pPr>
        <w:spacing w:after="0"/>
        <w:jc w:val="both"/>
      </w:pPr>
      <w:r w:rsidRPr="00F06474">
        <w:t>1. Conocer el uso de la PDI en el aula.</w:t>
      </w:r>
    </w:p>
    <w:p w:rsidR="009E2E78" w:rsidRDefault="00F06474" w:rsidP="009E2E78">
      <w:pPr>
        <w:spacing w:after="0"/>
        <w:jc w:val="both"/>
      </w:pPr>
      <w:r w:rsidRPr="00F06474">
        <w:t>2. Dotar a los participantes del curso de las capacidades y herra</w:t>
      </w:r>
      <w:r w:rsidR="009E2E78">
        <w:t>mientas para el uso de la PDI. </w:t>
      </w:r>
    </w:p>
    <w:p w:rsidR="009E2E78" w:rsidRDefault="00F06474" w:rsidP="009E2E78">
      <w:pPr>
        <w:spacing w:after="0"/>
        <w:jc w:val="both"/>
      </w:pPr>
      <w:r w:rsidRPr="00F06474">
        <w:t>3. Conocer el software de autoría de la PDI y otros programas asociados. </w:t>
      </w:r>
    </w:p>
    <w:p w:rsidR="009E2E78" w:rsidRDefault="00F06474" w:rsidP="009E2E78">
      <w:pPr>
        <w:spacing w:after="0"/>
        <w:jc w:val="both"/>
      </w:pPr>
      <w:r w:rsidRPr="00F06474">
        <w:t>4. Conocer la metodología</w:t>
      </w:r>
      <w:r w:rsidR="009E2E78">
        <w:t xml:space="preserve"> del uso de la PDI en el aula. </w:t>
      </w:r>
    </w:p>
    <w:p w:rsidR="00F06474" w:rsidRDefault="00F06474" w:rsidP="009E2E78">
      <w:pPr>
        <w:spacing w:after="0"/>
        <w:jc w:val="both"/>
      </w:pPr>
      <w:r w:rsidRPr="00F06474">
        <w:t>5. Aprender a utilizar los recursos de internet en las unidades didácticas. </w:t>
      </w:r>
    </w:p>
    <w:p w:rsidR="009E2E78" w:rsidRDefault="009E2E78" w:rsidP="009E2E78">
      <w:pPr>
        <w:spacing w:after="0"/>
        <w:jc w:val="both"/>
      </w:pPr>
    </w:p>
    <w:p w:rsidR="00BA7213" w:rsidRDefault="00BA7213" w:rsidP="009E2E78">
      <w:pPr>
        <w:spacing w:after="0"/>
        <w:jc w:val="both"/>
      </w:pPr>
      <w:r>
        <w:t>8.2. Contenidos</w:t>
      </w:r>
    </w:p>
    <w:p w:rsidR="00785F8F" w:rsidRPr="00785F8F" w:rsidRDefault="00785F8F" w:rsidP="009E2E78">
      <w:pPr>
        <w:jc w:val="both"/>
      </w:pPr>
      <w:r w:rsidRPr="00785F8F">
        <w:t>El contenido de la acción formativa que va a recibir se encuentra en internet dentro del campus</w:t>
      </w:r>
      <w:r>
        <w:t xml:space="preserve"> o repositorio con objetos de aprendizaje. D</w:t>
      </w:r>
      <w:r w:rsidRPr="00785F8F">
        <w:t>e esta forma podrá seguir la formación desde su domicilio, lugar de trabajo o cualquier otro sitio con conexión a internet.  También podrá</w:t>
      </w:r>
      <w:r>
        <w:t xml:space="preserve"> por ejemplo,</w:t>
      </w:r>
      <w:r w:rsidRPr="00785F8F">
        <w:t xml:space="preserve"> realizar consultas externas según conveniencia del alumno aportando contenidos actualizados o relacionados bien a través de links que encontrará en los apuntes, en la sección de biblioteca </w:t>
      </w:r>
      <w:r>
        <w:t>del campus, o consultas propias si se decide diseñarlo como tal.</w:t>
      </w:r>
    </w:p>
    <w:p w:rsidR="00785F8F" w:rsidRDefault="00785F8F" w:rsidP="009E2E78">
      <w:pPr>
        <w:jc w:val="both"/>
      </w:pPr>
      <w:r w:rsidRPr="00785F8F">
        <w:t xml:space="preserve">Para resolver cualquier duda en referencia al contenido del curso cuentan con la ayuda de un profesor/tutor, conocedor de la materia objeto de estudio y responsable del seguimiento de su formación.  </w:t>
      </w:r>
      <w:r>
        <w:t xml:space="preserve">Se puede dar la opción a que el MDM </w:t>
      </w:r>
      <w:r w:rsidRPr="00785F8F">
        <w:t xml:space="preserve">El alumno se podrá poner en contacto con su tutor a través del correo electrónico del campus, a través de las tutorías online que se realicen o bien a través del teléfono en el horario que se establezca. </w:t>
      </w:r>
    </w:p>
    <w:p w:rsidR="00F06474" w:rsidRDefault="00F06474" w:rsidP="009E2E78">
      <w:pPr>
        <w:spacing w:after="0"/>
        <w:jc w:val="both"/>
      </w:pPr>
      <w:r>
        <w:t>Los contenidos a desarrollar en la implementación con los objetos de aprendizaje serían:</w:t>
      </w:r>
    </w:p>
    <w:p w:rsidR="009E2E78" w:rsidRDefault="00F06474" w:rsidP="009E2E78">
      <w:pPr>
        <w:spacing w:after="0"/>
        <w:jc w:val="both"/>
      </w:pPr>
      <w:r w:rsidRPr="00F06474">
        <w:t>1. La pizarra digital.</w:t>
      </w:r>
    </w:p>
    <w:p w:rsidR="009E2E78" w:rsidRDefault="00F06474" w:rsidP="009E2E78">
      <w:pPr>
        <w:spacing w:after="0"/>
        <w:jc w:val="both"/>
      </w:pPr>
      <w:r w:rsidRPr="00F06474">
        <w:t>2. Metodología en el uso de la P</w:t>
      </w:r>
      <w:r w:rsidR="009E2E78">
        <w:t>DI.</w:t>
      </w:r>
    </w:p>
    <w:p w:rsidR="009E2E78" w:rsidRDefault="00F06474" w:rsidP="009E2E78">
      <w:pPr>
        <w:spacing w:after="0"/>
        <w:jc w:val="both"/>
      </w:pPr>
      <w:r w:rsidRPr="00F06474">
        <w:t>3. Soft</w:t>
      </w:r>
      <w:r w:rsidR="009E2E78">
        <w:t>ware asociado al uso de la PDI.</w:t>
      </w:r>
    </w:p>
    <w:p w:rsidR="009E2E78" w:rsidRDefault="009E2E78" w:rsidP="009E2E78">
      <w:pPr>
        <w:spacing w:after="0"/>
        <w:jc w:val="both"/>
      </w:pPr>
      <w:r>
        <w:t>4. Creatividad y motivación</w:t>
      </w:r>
    </w:p>
    <w:p w:rsidR="009E2E78" w:rsidRDefault="00F06474" w:rsidP="009E2E78">
      <w:pPr>
        <w:spacing w:after="0"/>
        <w:jc w:val="both"/>
      </w:pPr>
      <w:r w:rsidRPr="00F06474">
        <w:t>5.</w:t>
      </w:r>
      <w:r w:rsidR="009E2E78">
        <w:t xml:space="preserve"> Recursos para el uso de la PDI</w:t>
      </w:r>
    </w:p>
    <w:p w:rsidR="009E2E78" w:rsidRDefault="00F06474" w:rsidP="009E2E78">
      <w:pPr>
        <w:spacing w:after="0"/>
        <w:jc w:val="both"/>
      </w:pPr>
      <w:r w:rsidRPr="00F06474">
        <w:t>6. Web 2.0</w:t>
      </w:r>
    </w:p>
    <w:p w:rsidR="009E2E78" w:rsidRDefault="009E2E78" w:rsidP="009E2E78">
      <w:pPr>
        <w:spacing w:after="0"/>
        <w:jc w:val="both"/>
      </w:pPr>
    </w:p>
    <w:p w:rsidR="00BA7213" w:rsidRDefault="00BA7213" w:rsidP="009E2E78">
      <w:pPr>
        <w:jc w:val="both"/>
      </w:pPr>
      <w:r>
        <w:t>8.3. Metodología</w:t>
      </w:r>
    </w:p>
    <w:p w:rsidR="00785F8F" w:rsidRPr="00785F8F" w:rsidRDefault="0057662B" w:rsidP="009E2E78">
      <w:pPr>
        <w:jc w:val="both"/>
      </w:pPr>
      <w:r>
        <w:lastRenderedPageBreak/>
        <w:t>Como en el punto 5 mencioné el enfoque metodológico del OA, comentaré el que podría ser l</w:t>
      </w:r>
      <w:r w:rsidR="00785F8F" w:rsidRPr="00785F8F">
        <w:t xml:space="preserve">a metodología de trabajo </w:t>
      </w:r>
      <w:r>
        <w:t xml:space="preserve">si </w:t>
      </w:r>
      <w:r w:rsidR="00F10102">
        <w:t>implementáramos</w:t>
      </w:r>
      <w:r>
        <w:t xml:space="preserve"> el OA y lo introdujéramos en un curso.  Este</w:t>
      </w:r>
      <w:r w:rsidR="00785F8F" w:rsidRPr="00785F8F">
        <w:t xml:space="preserve"> curso</w:t>
      </w:r>
      <w:r>
        <w:t xml:space="preserve"> llevará una metodología </w:t>
      </w:r>
      <w:r w:rsidR="00785F8F" w:rsidRPr="00785F8F">
        <w:t xml:space="preserve"> centrada en el alumno y en su trabajo práctico que va a desarrollar en el campus.  Evidentemente, la temática del curso y enfoque es el uso de las tecnologías, en concreto la pizarra digital y por tanto la metodología pondrá a prueba y dotará al alumno de los conocimientos necesarios para su aprendizaje.  Se utiliza un entorno virtual -campus-.</w:t>
      </w:r>
    </w:p>
    <w:p w:rsidR="00785F8F" w:rsidRDefault="00785F8F" w:rsidP="009E2E78">
      <w:pPr>
        <w:jc w:val="both"/>
      </w:pPr>
      <w:r w:rsidRPr="00785F8F">
        <w:t>Podemos clasificar el modelo pedagógico utilizado según los cuadrantes de Coomey y Stephenson en el cuadrante SO ya que como se verá a continuación el profesor establece las actividades y dirige la formación a modo de guía, pero es el alumno quien controla sus tareas y el contenido que aplica a las mismas y decide cuando está preparado para su autoevaluación. Además una vez completado el aprendizaje establecido tal como estable este cuadrante, el alumno continuará explorando la materia y finalmente aplicará estos conocimientos en su aula. El diálogo queda como la combinación de estilos NO durante el segmento dirigido por el formador del curso y de SE durante el segmento del curso gestionado por el alumno, como indican las características del cuadrante.</w:t>
      </w:r>
    </w:p>
    <w:p w:rsidR="00BA7213" w:rsidRDefault="00BA7213" w:rsidP="009E2E78">
      <w:pPr>
        <w:jc w:val="both"/>
      </w:pPr>
      <w:r>
        <w:t>8.4. Recursos</w:t>
      </w:r>
      <w:r w:rsidR="0057662B">
        <w:t xml:space="preserve"> y </w:t>
      </w:r>
      <w:r>
        <w:t xml:space="preserve"> Actividades</w:t>
      </w:r>
    </w:p>
    <w:p w:rsidR="003C5CDE" w:rsidRDefault="003C5CDE" w:rsidP="009E2E78">
      <w:pPr>
        <w:jc w:val="both"/>
      </w:pPr>
      <w:r>
        <w:t xml:space="preserve">Contendrá animaciones, simulaciones, etc.  Facilitará a los usuarios un estilo de aprendizaje concreto.   Aquí el usuario podrá experimentar y reflexionar los conceptos mostrados en la parte teórica.  </w:t>
      </w:r>
    </w:p>
    <w:p w:rsidR="0057662B" w:rsidRDefault="00094AFA" w:rsidP="009E2E78">
      <w:pPr>
        <w:jc w:val="both"/>
      </w:pPr>
      <w:r>
        <w:t>Por ejemplo</w:t>
      </w:r>
      <w:r w:rsidR="0057662B">
        <w:t xml:space="preserve"> una presentación flash con audio y video –combinación cerrada- que desarrolle una expli</w:t>
      </w:r>
      <w:r w:rsidR="0098364D">
        <w:t>cación sobre las NNTT, guionado y acompañado de texto,</w:t>
      </w:r>
      <w:r>
        <w:t xml:space="preserve"> visible su objetivo,</w:t>
      </w:r>
      <w:r w:rsidR="0098364D">
        <w:t xml:space="preserve"> que </w:t>
      </w:r>
      <w:r w:rsidR="0057662B">
        <w:t xml:space="preserve"> exponga ejemplos prácticos y</w:t>
      </w:r>
      <w:r>
        <w:t xml:space="preserve"> permita al estudiante realizar-</w:t>
      </w:r>
      <w:r w:rsidR="0057662B">
        <w:t xml:space="preserve">participar en unos test con respuesta de opción múltiple que dote de un feedback al alumno como elemento evaluador y finalmente un resumen de los principales aspectos tratados y aprendidos. </w:t>
      </w:r>
    </w:p>
    <w:p w:rsidR="00BA7213" w:rsidRDefault="0057662B" w:rsidP="009E2E78">
      <w:pPr>
        <w:jc w:val="both"/>
      </w:pPr>
      <w:r>
        <w:t>8.6. Temporalizació</w:t>
      </w:r>
      <w:r w:rsidR="00BA7213">
        <w:t>n</w:t>
      </w:r>
    </w:p>
    <w:p w:rsidR="00A25EAC" w:rsidRDefault="00A25EAC" w:rsidP="009E2E78">
      <w:pPr>
        <w:jc w:val="both"/>
      </w:pPr>
      <w:r>
        <w:t>La temporalización vendrá marcada por la implementación del OA</w:t>
      </w:r>
      <w:r w:rsidR="00094AFA">
        <w:t>.</w:t>
      </w:r>
    </w:p>
    <w:p w:rsidR="00BA7213" w:rsidRDefault="00BA7213" w:rsidP="009E2E78">
      <w:pPr>
        <w:jc w:val="both"/>
      </w:pPr>
      <w:r>
        <w:t xml:space="preserve">8.7 Procesos o tipos de evaluación incluidos en él (OA) </w:t>
      </w:r>
    </w:p>
    <w:p w:rsidR="00A25EAC" w:rsidRDefault="00A25EAC" w:rsidP="009E2E78">
      <w:pPr>
        <w:jc w:val="both"/>
      </w:pPr>
      <w:r>
        <w:t xml:space="preserve">La evaluación de enfoque constructivista será formativa o continuada. El OA tendrá un espacio para </w:t>
      </w:r>
      <w:r w:rsidR="00F10102">
        <w:t>evaluar</w:t>
      </w:r>
      <w:r>
        <w:t xml:space="preserve"> a través de preguntas de relación, opción múltiple o rellenar espacios.</w:t>
      </w:r>
    </w:p>
    <w:p w:rsidR="00B05269" w:rsidRDefault="00B05269" w:rsidP="009E2E78">
      <w:pPr>
        <w:jc w:val="both"/>
        <w:rPr>
          <w:b/>
        </w:rPr>
      </w:pPr>
    </w:p>
    <w:p w:rsidR="00C42F2E" w:rsidRPr="009E2E78" w:rsidRDefault="00BA7213" w:rsidP="009E2E78">
      <w:pPr>
        <w:jc w:val="both"/>
        <w:rPr>
          <w:b/>
        </w:rPr>
      </w:pPr>
      <w:r w:rsidRPr="009E2E78">
        <w:rPr>
          <w:b/>
        </w:rPr>
        <w:t xml:space="preserve">9. </w:t>
      </w:r>
      <w:r w:rsidR="00C42F2E" w:rsidRPr="009E2E78">
        <w:rPr>
          <w:b/>
        </w:rPr>
        <w:t>CONCLUSIONES</w:t>
      </w:r>
    </w:p>
    <w:p w:rsidR="0098364D" w:rsidRDefault="00094AFA" w:rsidP="009E2E78">
      <w:pPr>
        <w:jc w:val="both"/>
      </w:pPr>
      <w:r>
        <w:t>Sirviéndome</w:t>
      </w:r>
      <w:r w:rsidR="0098364D">
        <w:t xml:space="preserve"> de la guía en el diseño de OA </w:t>
      </w:r>
      <w:r>
        <w:t xml:space="preserve">me gustaría concluir que la intencionalidad en el diseño de mi objeto de aprendizaje </w:t>
      </w:r>
      <w:r w:rsidR="0098364D">
        <w:t>debe</w:t>
      </w:r>
      <w:r>
        <w:t xml:space="preserve"> ser:</w:t>
      </w:r>
      <w:r w:rsidR="0098364D">
        <w:t xml:space="preserve"> 1.especificar un objetivo general para ubicar el contexto de aprendizaje</w:t>
      </w:r>
      <w:r w:rsidR="00F10102">
        <w:t>, 2</w:t>
      </w:r>
      <w:r w:rsidR="0098364D">
        <w:t xml:space="preserve">. que el OA desarrollado deber ser visualizado preferiblemente a pantalla completa, 3.que la teoría deberá estar escrita siguiento algún método instruccional como pistas tipográficas, ilustraciones, preguntas intercaladas, 3.que en nuestro desarrollo, las animaciones creadas como ya he dicho serán de tipo flash o algún otro software que permita la animación y colocación de </w:t>
      </w:r>
      <w:r w:rsidR="0098364D">
        <w:lastRenderedPageBreak/>
        <w:t xml:space="preserve">applets, 4. que la evaluación </w:t>
      </w:r>
      <w:r>
        <w:t xml:space="preserve">sea continua y </w:t>
      </w:r>
      <w:r w:rsidR="0098364D">
        <w:t>contenga pregunta</w:t>
      </w:r>
      <w:r>
        <w:t>s de relación, opción múltiple (una o varias válidas)</w:t>
      </w:r>
      <w:r w:rsidR="0098364D">
        <w:t>, o de rellenar espacios, 5. En caso de dotar con otros ítems como área de colaboración tipo foro se pueda o</w:t>
      </w:r>
      <w:r w:rsidR="009E2E78">
        <w:t>torgar puntuación al propio OA e</w:t>
      </w:r>
      <w:r w:rsidR="0098364D">
        <w:t xml:space="preserve"> ítems de relación con ligas a otros OA </w:t>
      </w:r>
      <w:r w:rsidR="009E2E78">
        <w:t xml:space="preserve">que </w:t>
      </w:r>
      <w:r w:rsidR="0098364D">
        <w:t xml:space="preserve">no </w:t>
      </w:r>
      <w:r w:rsidR="00A25EAC">
        <w:t>co</w:t>
      </w:r>
      <w:r w:rsidR="009E2E78">
        <w:t>ntenga más de 3 para no saturar al estudiante.</w:t>
      </w:r>
    </w:p>
    <w:p w:rsidR="009E2E78" w:rsidRDefault="009E2E78" w:rsidP="009E2E78">
      <w:pPr>
        <w:jc w:val="both"/>
      </w:pPr>
      <w:r>
        <w:t xml:space="preserve">De esta forma y contando con el seguimiento de esta pautas, </w:t>
      </w:r>
      <w:r w:rsidR="00B05269">
        <w:t>apostar por</w:t>
      </w:r>
      <w:r>
        <w:t xml:space="preserve">  OAs facilita el trabajo</w:t>
      </w:r>
      <w:r w:rsidR="00B05269">
        <w:t xml:space="preserve"> de cualquier desarrollador de contenido educativo en este formato, además atendiendo a las peculiaridades de los OA, reutilización, interoperabilidad, accesibilidad y duración, vemos que permiten desarrollar y progresar mejorando la producción de los actuales OA para nuevos aprendizajes basados en la web.</w:t>
      </w:r>
    </w:p>
    <w:p w:rsidR="00BA7213" w:rsidRDefault="00BA7213" w:rsidP="009E2E78">
      <w:pPr>
        <w:jc w:val="both"/>
      </w:pPr>
    </w:p>
    <w:p w:rsidR="00C42F2E" w:rsidRPr="009E2E78" w:rsidRDefault="00BA7213" w:rsidP="009E2E78">
      <w:pPr>
        <w:jc w:val="both"/>
        <w:rPr>
          <w:b/>
        </w:rPr>
      </w:pPr>
      <w:r w:rsidRPr="009E2E78">
        <w:rPr>
          <w:b/>
        </w:rPr>
        <w:t>10.</w:t>
      </w:r>
      <w:r w:rsidR="009E2E78" w:rsidRPr="009E2E78">
        <w:rPr>
          <w:b/>
        </w:rPr>
        <w:t xml:space="preserve"> </w:t>
      </w:r>
      <w:r w:rsidR="00C42F2E" w:rsidRPr="009E2E78">
        <w:rPr>
          <w:b/>
        </w:rPr>
        <w:t>BIBLIOGRAFÍA</w:t>
      </w:r>
    </w:p>
    <w:p w:rsidR="009E2E78" w:rsidRPr="00680B4C" w:rsidRDefault="00AE3980" w:rsidP="009E2E78">
      <w:pPr>
        <w:jc w:val="both"/>
        <w:rPr>
          <w:sz w:val="20"/>
        </w:rPr>
      </w:pPr>
      <w:r w:rsidRPr="00680B4C">
        <w:rPr>
          <w:sz w:val="20"/>
        </w:rPr>
        <w:t>Artículos propuestos:</w:t>
      </w:r>
    </w:p>
    <w:p w:rsidR="003C3FEA" w:rsidRPr="00680B4C" w:rsidRDefault="003C3FEA" w:rsidP="003C3FEA">
      <w:pPr>
        <w:jc w:val="both"/>
        <w:rPr>
          <w:iCs/>
          <w:sz w:val="20"/>
          <w:lang w:val="es-ES_tradnl"/>
        </w:rPr>
      </w:pPr>
      <w:r w:rsidRPr="00680B4C">
        <w:rPr>
          <w:iCs/>
          <w:sz w:val="20"/>
          <w:lang w:val="en-US"/>
        </w:rPr>
        <w:t>W</w:t>
      </w:r>
      <w:r w:rsidR="00680B4C" w:rsidRPr="00680B4C">
        <w:rPr>
          <w:iCs/>
          <w:sz w:val="20"/>
          <w:lang w:val="en-US"/>
        </w:rPr>
        <w:t>ILEY</w:t>
      </w:r>
      <w:r w:rsidRPr="00680B4C">
        <w:rPr>
          <w:iCs/>
          <w:sz w:val="20"/>
          <w:lang w:val="en-US"/>
        </w:rPr>
        <w:t xml:space="preserve">, D. (ed). The instructional use of learning objects. </w:t>
      </w:r>
      <w:r w:rsidRPr="00680B4C">
        <w:rPr>
          <w:b/>
          <w:iCs/>
          <w:sz w:val="20"/>
          <w:lang w:val="ca-ES"/>
        </w:rPr>
        <w:t>Obligatoris els primers dos capítols</w:t>
      </w:r>
      <w:r w:rsidRPr="00680B4C">
        <w:rPr>
          <w:iCs/>
          <w:sz w:val="20"/>
          <w:lang w:val="es-ES_tradnl"/>
        </w:rPr>
        <w:t xml:space="preserve"> (por Wiley, y por Gibbons, &amp; Richards)</w:t>
      </w:r>
    </w:p>
    <w:p w:rsidR="003C3FEA" w:rsidRPr="00680B4C" w:rsidRDefault="00680B4C" w:rsidP="003C3FEA">
      <w:pPr>
        <w:jc w:val="both"/>
        <w:rPr>
          <w:sz w:val="20"/>
          <w:lang w:val="es-ES_tradnl"/>
        </w:rPr>
      </w:pPr>
      <w:r w:rsidRPr="00680B4C">
        <w:rPr>
          <w:sz w:val="20"/>
          <w:lang w:val="es-ES_tradnl"/>
        </w:rPr>
        <w:t xml:space="preserve">GUÀRDIA ORTIZ, L., &amp; SANGRÀ MORER, A. </w:t>
      </w:r>
      <w:r w:rsidR="003C3FEA" w:rsidRPr="00680B4C">
        <w:rPr>
          <w:sz w:val="20"/>
          <w:lang w:val="es-ES_tradnl"/>
        </w:rPr>
        <w:t xml:space="preserve">(2004). </w:t>
      </w:r>
      <w:r w:rsidR="003C3FEA" w:rsidRPr="00680B4C">
        <w:rPr>
          <w:i/>
          <w:sz w:val="20"/>
          <w:lang w:val="es-ES_tradnl"/>
        </w:rPr>
        <w:t>Diseño instruccional y objetos de aprendizaje; hacia un modelo para el diseño de actividades de evaluación del aprendizaje on-line</w:t>
      </w:r>
      <w:r w:rsidR="00F10102" w:rsidRPr="00680B4C">
        <w:rPr>
          <w:sz w:val="20"/>
          <w:lang w:val="es-ES_tradnl"/>
        </w:rPr>
        <w:t>. SPDECE 2004, Alcalá, España</w:t>
      </w:r>
      <w:r w:rsidR="003C3FEA" w:rsidRPr="00680B4C">
        <w:rPr>
          <w:sz w:val="20"/>
          <w:lang w:val="es-ES_tradnl"/>
        </w:rPr>
        <w:t>.</w:t>
      </w:r>
    </w:p>
    <w:p w:rsidR="003C3FEA" w:rsidRPr="00680B4C" w:rsidRDefault="00680B4C" w:rsidP="003C3FEA">
      <w:pPr>
        <w:jc w:val="both"/>
        <w:rPr>
          <w:bCs/>
          <w:sz w:val="20"/>
        </w:rPr>
      </w:pPr>
      <w:r w:rsidRPr="00680B4C">
        <w:rPr>
          <w:bCs/>
          <w:sz w:val="20"/>
        </w:rPr>
        <w:t>SAMPEDRO NUÑO, A., SARIEGO FERRERO, R., MARTÍNEZ NISTAL, Á., MARTÍNEZ GONZÁLEZ, R. A. &amp; RODRÍGUEZ RUIZ, B</w:t>
      </w:r>
      <w:r w:rsidR="003C3FEA" w:rsidRPr="00680B4C">
        <w:rPr>
          <w:bCs/>
          <w:sz w:val="20"/>
        </w:rPr>
        <w:t xml:space="preserve">. (2005). Procesos implicados en el desarrollo de Materiales Didácticos reutilizables para el fomento de </w:t>
      </w:r>
      <w:smartTag w:uri="urn:schemas-microsoft-com:office:smarttags" w:element="PersonName">
        <w:smartTagPr>
          <w:attr w:name="ProductID" w:val="la Cultura Cient￭fica"/>
        </w:smartTagPr>
        <w:r w:rsidR="003C3FEA" w:rsidRPr="00680B4C">
          <w:rPr>
            <w:bCs/>
            <w:sz w:val="20"/>
          </w:rPr>
          <w:t>la Cultura Científica</w:t>
        </w:r>
      </w:smartTag>
      <w:r w:rsidR="003C3FEA" w:rsidRPr="00680B4C">
        <w:rPr>
          <w:bCs/>
          <w:sz w:val="20"/>
        </w:rPr>
        <w:t xml:space="preserve"> y Tecnológica. </w:t>
      </w:r>
      <w:r w:rsidR="003C3FEA" w:rsidRPr="00680B4C">
        <w:rPr>
          <w:bCs/>
          <w:i/>
          <w:iCs/>
          <w:sz w:val="20"/>
        </w:rPr>
        <w:t>RED</w:t>
      </w:r>
      <w:r w:rsidR="003C3FEA" w:rsidRPr="00680B4C">
        <w:rPr>
          <w:bCs/>
          <w:sz w:val="20"/>
        </w:rPr>
        <w:t xml:space="preserve">. IV(III). </w:t>
      </w:r>
    </w:p>
    <w:p w:rsidR="003C3FEA" w:rsidRPr="00680B4C" w:rsidRDefault="00680B4C" w:rsidP="003C3FEA">
      <w:pPr>
        <w:jc w:val="both"/>
        <w:rPr>
          <w:bCs/>
          <w:sz w:val="20"/>
        </w:rPr>
      </w:pPr>
      <w:r w:rsidRPr="00680B4C">
        <w:rPr>
          <w:bCs/>
          <w:sz w:val="20"/>
        </w:rPr>
        <w:t xml:space="preserve">MARTA GONZÁLEZ ARECHAVALETA, M. </w:t>
      </w:r>
      <w:r w:rsidR="003C3FEA" w:rsidRPr="00680B4C">
        <w:rPr>
          <w:bCs/>
          <w:sz w:val="20"/>
        </w:rPr>
        <w:t xml:space="preserve">(2005). Cómo desarrollar contenidos para la formación online basados en objetos de aprendizaje. RED. IV(III). </w:t>
      </w:r>
    </w:p>
    <w:p w:rsidR="00AE3980" w:rsidRPr="00680B4C" w:rsidRDefault="00680B4C" w:rsidP="009E2E78">
      <w:pPr>
        <w:jc w:val="both"/>
        <w:rPr>
          <w:bCs/>
          <w:sz w:val="20"/>
        </w:rPr>
      </w:pPr>
      <w:r w:rsidRPr="00680B4C">
        <w:rPr>
          <w:bCs/>
          <w:sz w:val="20"/>
        </w:rPr>
        <w:t xml:space="preserve">HILERA, J. R. &amp; PALOMAR, D. </w:t>
      </w:r>
      <w:r w:rsidR="003C3FEA" w:rsidRPr="00680B4C">
        <w:rPr>
          <w:bCs/>
          <w:sz w:val="20"/>
        </w:rPr>
        <w:t xml:space="preserve">(2005). Modelado de procesos de enseñanza-aprendizaje reutilizables con XML, UML e IMS-LD. RED. IV(III). </w:t>
      </w:r>
    </w:p>
    <w:p w:rsidR="00AE3980" w:rsidRPr="00680B4C" w:rsidRDefault="00AE3980" w:rsidP="009E2E78">
      <w:pPr>
        <w:jc w:val="both"/>
        <w:rPr>
          <w:sz w:val="20"/>
        </w:rPr>
      </w:pPr>
      <w:r w:rsidRPr="00680B4C">
        <w:rPr>
          <w:sz w:val="20"/>
        </w:rPr>
        <w:t>Otros materiales consultados:</w:t>
      </w:r>
    </w:p>
    <w:p w:rsidR="0003366D" w:rsidRPr="00680B4C" w:rsidRDefault="00680B4C" w:rsidP="009E2E78">
      <w:pPr>
        <w:jc w:val="both"/>
        <w:rPr>
          <w:sz w:val="20"/>
        </w:rPr>
      </w:pPr>
      <w:r w:rsidRPr="00680B4C">
        <w:rPr>
          <w:sz w:val="20"/>
        </w:rPr>
        <w:t xml:space="preserve">H.HENKE </w:t>
      </w:r>
      <w:r w:rsidR="009E2E78" w:rsidRPr="00680B4C">
        <w:rPr>
          <w:sz w:val="20"/>
        </w:rPr>
        <w:t>(2001), Learning Theory: Applying Kolb’s Learning Style Inventory with computer based Training.</w:t>
      </w:r>
    </w:p>
    <w:p w:rsidR="0003366D" w:rsidRPr="00680B4C" w:rsidRDefault="00680B4C" w:rsidP="009E2E78">
      <w:pPr>
        <w:spacing w:after="0"/>
        <w:jc w:val="both"/>
        <w:rPr>
          <w:sz w:val="20"/>
        </w:rPr>
      </w:pPr>
      <w:r w:rsidRPr="00680B4C">
        <w:rPr>
          <w:sz w:val="20"/>
        </w:rPr>
        <w:t>HEINICH, R., MOLENDA, M., RUSSELL, J. D., Y SMALDINO, S. D.</w:t>
      </w:r>
      <w:r w:rsidR="0003366D" w:rsidRPr="00680B4C">
        <w:rPr>
          <w:sz w:val="20"/>
        </w:rPr>
        <w:t xml:space="preserve"> (1999). Instructional Media and Technologies for Learning. Upper Saddle River, New Jersey: Pearson Education.</w:t>
      </w:r>
    </w:p>
    <w:p w:rsidR="00F10102" w:rsidRPr="00680B4C" w:rsidRDefault="00F10102" w:rsidP="009E2E78">
      <w:pPr>
        <w:spacing w:after="0"/>
        <w:jc w:val="both"/>
        <w:rPr>
          <w:sz w:val="20"/>
        </w:rPr>
      </w:pPr>
    </w:p>
    <w:p w:rsidR="00680B4C" w:rsidRPr="00680B4C" w:rsidRDefault="00F10102" w:rsidP="00F10102">
      <w:pPr>
        <w:spacing w:after="0"/>
        <w:jc w:val="both"/>
        <w:rPr>
          <w:sz w:val="20"/>
        </w:rPr>
      </w:pPr>
      <w:r w:rsidRPr="00680B4C">
        <w:rPr>
          <w:sz w:val="20"/>
        </w:rPr>
        <w:t>COOMEY, M Y STEPHENSON, J. (2001): Online learning: it is all about dialogue, involvement,</w:t>
      </w:r>
      <w:r w:rsidR="00680B4C">
        <w:rPr>
          <w:sz w:val="20"/>
        </w:rPr>
        <w:t xml:space="preserve"> </w:t>
      </w:r>
      <w:r w:rsidRPr="00680B4C">
        <w:rPr>
          <w:sz w:val="20"/>
        </w:rPr>
        <w:t>support and control-according to research”. Chapter 4 in STEPHENSON, J. (Ed.): “</w:t>
      </w:r>
      <w:r w:rsidRPr="00680B4C">
        <w:rPr>
          <w:i/>
          <w:iCs/>
          <w:sz w:val="20"/>
        </w:rPr>
        <w:t>Teaching and</w:t>
      </w:r>
      <w:r w:rsidR="00680B4C">
        <w:rPr>
          <w:sz w:val="20"/>
        </w:rPr>
        <w:t xml:space="preserve"> </w:t>
      </w:r>
      <w:r w:rsidRPr="00680B4C">
        <w:rPr>
          <w:i/>
          <w:iCs/>
          <w:sz w:val="20"/>
        </w:rPr>
        <w:t>learning online: pedagogies for new technologies</w:t>
      </w:r>
      <w:r w:rsidRPr="00680B4C">
        <w:rPr>
          <w:sz w:val="20"/>
        </w:rPr>
        <w:t>”. Kogan Page, London</w:t>
      </w:r>
    </w:p>
    <w:p w:rsidR="0003366D" w:rsidRPr="00680B4C" w:rsidRDefault="0003366D" w:rsidP="009E2E78">
      <w:pPr>
        <w:spacing w:after="0"/>
        <w:jc w:val="both"/>
        <w:rPr>
          <w:sz w:val="20"/>
        </w:rPr>
      </w:pPr>
    </w:p>
    <w:p w:rsidR="0095548D" w:rsidRPr="00680B4C" w:rsidRDefault="00680B4C" w:rsidP="009E2E78">
      <w:pPr>
        <w:spacing w:after="0"/>
        <w:jc w:val="both"/>
        <w:rPr>
          <w:sz w:val="20"/>
        </w:rPr>
      </w:pPr>
      <w:r w:rsidRPr="00680B4C">
        <w:rPr>
          <w:sz w:val="20"/>
        </w:rPr>
        <w:t>AGUILAR, J., MUÑOZ, J., POMARES, S</w:t>
      </w:r>
      <w:r w:rsidR="008D4947" w:rsidRPr="00680B4C">
        <w:rPr>
          <w:sz w:val="20"/>
        </w:rPr>
        <w:t xml:space="preserve">., </w:t>
      </w:r>
      <w:r w:rsidR="008D4947" w:rsidRPr="00680B4C">
        <w:rPr>
          <w:i/>
          <w:sz w:val="20"/>
        </w:rPr>
        <w:t>Guías de diseño para el desarrollo de objetos de aprendizaje</w:t>
      </w:r>
      <w:r w:rsidR="008D4947" w:rsidRPr="00680B4C">
        <w:rPr>
          <w:sz w:val="20"/>
        </w:rPr>
        <w:t xml:space="preserve"> Univerdad Tecnológica de Puebla, México.</w:t>
      </w:r>
    </w:p>
    <w:p w:rsidR="0003366D" w:rsidRPr="00680B4C" w:rsidRDefault="0003366D" w:rsidP="009E2E78">
      <w:pPr>
        <w:spacing w:after="0"/>
        <w:jc w:val="both"/>
        <w:rPr>
          <w:sz w:val="20"/>
        </w:rPr>
      </w:pPr>
    </w:p>
    <w:p w:rsidR="0095548D" w:rsidRPr="00680B4C" w:rsidRDefault="00B05269" w:rsidP="003C3FEA">
      <w:pPr>
        <w:spacing w:after="0"/>
        <w:jc w:val="both"/>
        <w:rPr>
          <w:sz w:val="20"/>
        </w:rPr>
      </w:pPr>
      <w:r w:rsidRPr="00680B4C">
        <w:rPr>
          <w:sz w:val="20"/>
        </w:rPr>
        <w:t xml:space="preserve">Enlaces: </w:t>
      </w:r>
      <w:r w:rsidR="0003366D" w:rsidRPr="00680B4C">
        <w:rPr>
          <w:sz w:val="20"/>
        </w:rPr>
        <w:t>Proyecto edu aproa</w:t>
      </w:r>
      <w:r w:rsidR="00094AFA" w:rsidRPr="00680B4C">
        <w:rPr>
          <w:sz w:val="20"/>
        </w:rPr>
        <w:t xml:space="preserve"> </w:t>
      </w:r>
      <w:hyperlink r:id="rId12" w:history="1">
        <w:r w:rsidR="003C3FEA" w:rsidRPr="00680B4C">
          <w:rPr>
            <w:rStyle w:val="Hipervnculo"/>
            <w:sz w:val="20"/>
          </w:rPr>
          <w:t>www.aproa.cl</w:t>
        </w:r>
      </w:hyperlink>
    </w:p>
    <w:p w:rsidR="003C3FEA" w:rsidRDefault="003C3FEA" w:rsidP="003C3FEA">
      <w:pPr>
        <w:spacing w:after="0"/>
        <w:jc w:val="both"/>
      </w:pPr>
    </w:p>
    <w:sectPr w:rsidR="003C3FEA" w:rsidSect="005479E3">
      <w:headerReference w:type="even" r:id="rId13"/>
      <w:headerReference w:type="default" r:id="rId14"/>
      <w:footerReference w:type="default" r:id="rId15"/>
      <w:pgSz w:w="11906" w:h="16838"/>
      <w:pgMar w:top="2230" w:right="1416" w:bottom="1276" w:left="1560" w:header="851"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4662" w:rsidRDefault="00844662" w:rsidP="00A53075">
      <w:pPr>
        <w:spacing w:after="0" w:line="240" w:lineRule="auto"/>
      </w:pPr>
      <w:r>
        <w:separator/>
      </w:r>
    </w:p>
  </w:endnote>
  <w:endnote w:type="continuationSeparator" w:id="1">
    <w:p w:rsidR="00844662" w:rsidRDefault="00844662" w:rsidP="00A530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8065"/>
      <w:docPartObj>
        <w:docPartGallery w:val="Page Numbers (Bottom of Page)"/>
        <w:docPartUnique/>
      </w:docPartObj>
    </w:sdtPr>
    <w:sdtContent>
      <w:sdt>
        <w:sdtPr>
          <w:id w:val="216747587"/>
          <w:docPartObj>
            <w:docPartGallery w:val="Page Numbers (Top of Page)"/>
            <w:docPartUnique/>
          </w:docPartObj>
        </w:sdtPr>
        <w:sdtContent>
          <w:p w:rsidR="008D4947" w:rsidRDefault="008D4947">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680B4C">
              <w:rPr>
                <w:b/>
                <w:noProof/>
              </w:rPr>
              <w:t>0</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680B4C">
              <w:rPr>
                <w:b/>
                <w:noProof/>
              </w:rPr>
              <w:t>7</w:t>
            </w:r>
            <w:r>
              <w:rPr>
                <w:b/>
                <w:sz w:val="24"/>
                <w:szCs w:val="24"/>
              </w:rPr>
              <w:fldChar w:fldCharType="end"/>
            </w:r>
          </w:p>
        </w:sdtContent>
      </w:sdt>
    </w:sdtContent>
  </w:sdt>
  <w:p w:rsidR="008D4947" w:rsidRDefault="008D494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4662" w:rsidRDefault="00844662" w:rsidP="00A53075">
      <w:pPr>
        <w:spacing w:after="0" w:line="240" w:lineRule="auto"/>
      </w:pPr>
      <w:r>
        <w:separator/>
      </w:r>
    </w:p>
  </w:footnote>
  <w:footnote w:type="continuationSeparator" w:id="1">
    <w:p w:rsidR="00844662" w:rsidRDefault="00844662" w:rsidP="00A530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947" w:rsidRDefault="008D4947" w:rsidP="0095548D">
    <w:pPr>
      <w:pStyle w:val="Encabezado"/>
      <w:shd w:val="clear" w:color="auto" w:fill="000000" w:themeFill="text1"/>
      <w:jc w:val="right"/>
    </w:pPr>
    <w:r>
      <w:t>sssAraa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947" w:rsidRDefault="008D4947" w:rsidP="0095548D">
    <w:pPr>
      <w:pStyle w:val="Encabezado"/>
      <w:jc w:val="right"/>
    </w:pPr>
    <w:r>
      <w:rPr>
        <w:noProof/>
        <w:lang w:eastAsia="es-ES"/>
      </w:rPr>
      <w:drawing>
        <wp:anchor distT="0" distB="0" distL="114300" distR="114300" simplePos="0" relativeHeight="251658240" behindDoc="0" locked="0" layoutInCell="1" allowOverlap="1">
          <wp:simplePos x="0" y="0"/>
          <wp:positionH relativeFrom="column">
            <wp:posOffset>-104775</wp:posOffset>
          </wp:positionH>
          <wp:positionV relativeFrom="paragraph">
            <wp:posOffset>7620</wp:posOffset>
          </wp:positionV>
          <wp:extent cx="1152525" cy="657225"/>
          <wp:effectExtent l="19050" t="0" r="9525" b="0"/>
          <wp:wrapThrough wrapText="bothSides">
            <wp:wrapPolygon edited="0">
              <wp:start x="-357" y="0"/>
              <wp:lineTo x="-357" y="21287"/>
              <wp:lineTo x="21779" y="21287"/>
              <wp:lineTo x="21779" y="0"/>
              <wp:lineTo x="-357" y="0"/>
            </wp:wrapPolygon>
          </wp:wrapThrough>
          <wp:docPr id="2" name="Imagen 11" descr="http://t2.gstatic.com/images?q=tbn:-PaO-6z2ZDK_yM:http://www.psicoaragon.es/IIIENCUENTRO/IIIencuentro2/UOC_marcaweb.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2.gstatic.com/images?q=tbn:-PaO-6z2ZDK_yM:http://www.psicoaragon.es/IIIENCUENTRO/IIIencuentro2/UOC_marcaweb.jpg">
                    <a:hlinkClick r:id="rId1"/>
                  </pic:cNvPr>
                  <pic:cNvPicPr>
                    <a:picLocks noChangeAspect="1" noChangeArrowheads="1"/>
                  </pic:cNvPicPr>
                </pic:nvPicPr>
                <pic:blipFill>
                  <a:blip r:embed="rId2"/>
                  <a:srcRect/>
                  <a:stretch>
                    <a:fillRect/>
                  </a:stretch>
                </pic:blipFill>
                <pic:spPr bwMode="auto">
                  <a:xfrm>
                    <a:off x="0" y="0"/>
                    <a:ext cx="1152525" cy="657225"/>
                  </a:xfrm>
                  <a:prstGeom prst="rect">
                    <a:avLst/>
                  </a:prstGeom>
                  <a:noFill/>
                  <a:ln w="9525">
                    <a:noFill/>
                    <a:miter lim="800000"/>
                    <a:headEnd/>
                    <a:tailEnd/>
                  </a:ln>
                </pic:spPr>
              </pic:pic>
            </a:graphicData>
          </a:graphic>
        </wp:anchor>
      </w:drawing>
    </w:r>
    <w:r>
      <w:t>Diseño de Materiales de Aprendizaje Multimedia</w:t>
    </w:r>
  </w:p>
  <w:p w:rsidR="008D4947" w:rsidRDefault="008D4947" w:rsidP="0095548D">
    <w:pPr>
      <w:pStyle w:val="Encabezado"/>
      <w:jc w:val="right"/>
    </w:pPr>
    <w:r>
      <w:t>Profesora Consultora: Mercedes Ahumada Torres</w:t>
    </w:r>
  </w:p>
  <w:p w:rsidR="008D4947" w:rsidRPr="0095548D" w:rsidRDefault="008D4947" w:rsidP="0095548D">
    <w:pPr>
      <w:pStyle w:val="Encabezado"/>
      <w:jc w:val="right"/>
    </w:pPr>
    <w:r>
      <w:t>Autor: Jaime Moros Marín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8" type="#_x0000_t75" style="width:20.25pt;height:18pt;visibility:visible;mso-wrap-style:square" o:bullet="t">
        <v:imagedata r:id="rId1" o:title=""/>
      </v:shape>
    </w:pict>
  </w:numPicBullet>
  <w:numPicBullet w:numPicBulletId="1">
    <w:pict>
      <v:shape id="_x0000_i1179" type="#_x0000_t75" style="width:20.25pt;height:16.5pt;visibility:visible;mso-wrap-style:square" o:bullet="t">
        <v:imagedata r:id="rId2" o:title=""/>
      </v:shape>
    </w:pict>
  </w:numPicBullet>
  <w:numPicBullet w:numPicBulletId="2">
    <w:pict>
      <v:shape id="_x0000_i1180" type="#_x0000_t75" style="width:20.25pt;height:15pt;visibility:visible;mso-wrap-style:square" o:bullet="t">
        <v:imagedata r:id="rId3" o:title=""/>
      </v:shape>
    </w:pict>
  </w:numPicBullet>
  <w:numPicBullet w:numPicBulletId="3">
    <w:pict>
      <v:shape id="_x0000_i1181" type="#_x0000_t75" style="width:20.25pt;height:16.5pt;visibility:visible;mso-wrap-style:square" o:bullet="t">
        <v:imagedata r:id="rId4" o:title=""/>
      </v:shape>
    </w:pict>
  </w:numPicBullet>
  <w:abstractNum w:abstractNumId="0">
    <w:nsid w:val="007F248A"/>
    <w:multiLevelType w:val="hybridMultilevel"/>
    <w:tmpl w:val="FD9C11FA"/>
    <w:lvl w:ilvl="0" w:tplc="F4EE0E06">
      <w:start w:val="1"/>
      <w:numFmt w:val="bullet"/>
      <w:lvlText w:val=""/>
      <w:lvlPicBulletId w:val="0"/>
      <w:lvlJc w:val="left"/>
      <w:pPr>
        <w:tabs>
          <w:tab w:val="num" w:pos="720"/>
        </w:tabs>
        <w:ind w:left="720" w:hanging="360"/>
      </w:pPr>
      <w:rPr>
        <w:rFonts w:ascii="Symbol" w:hAnsi="Symbol" w:hint="default"/>
      </w:rPr>
    </w:lvl>
    <w:lvl w:ilvl="1" w:tplc="5900E966" w:tentative="1">
      <w:start w:val="1"/>
      <w:numFmt w:val="bullet"/>
      <w:lvlText w:val=""/>
      <w:lvlJc w:val="left"/>
      <w:pPr>
        <w:tabs>
          <w:tab w:val="num" w:pos="1440"/>
        </w:tabs>
        <w:ind w:left="1440" w:hanging="360"/>
      </w:pPr>
      <w:rPr>
        <w:rFonts w:ascii="Symbol" w:hAnsi="Symbol" w:hint="default"/>
      </w:rPr>
    </w:lvl>
    <w:lvl w:ilvl="2" w:tplc="6DB42DBE" w:tentative="1">
      <w:start w:val="1"/>
      <w:numFmt w:val="bullet"/>
      <w:lvlText w:val=""/>
      <w:lvlJc w:val="left"/>
      <w:pPr>
        <w:tabs>
          <w:tab w:val="num" w:pos="2160"/>
        </w:tabs>
        <w:ind w:left="2160" w:hanging="360"/>
      </w:pPr>
      <w:rPr>
        <w:rFonts w:ascii="Symbol" w:hAnsi="Symbol" w:hint="default"/>
      </w:rPr>
    </w:lvl>
    <w:lvl w:ilvl="3" w:tplc="59DEFFAA" w:tentative="1">
      <w:start w:val="1"/>
      <w:numFmt w:val="bullet"/>
      <w:lvlText w:val=""/>
      <w:lvlJc w:val="left"/>
      <w:pPr>
        <w:tabs>
          <w:tab w:val="num" w:pos="2880"/>
        </w:tabs>
        <w:ind w:left="2880" w:hanging="360"/>
      </w:pPr>
      <w:rPr>
        <w:rFonts w:ascii="Symbol" w:hAnsi="Symbol" w:hint="default"/>
      </w:rPr>
    </w:lvl>
    <w:lvl w:ilvl="4" w:tplc="DE8C4586" w:tentative="1">
      <w:start w:val="1"/>
      <w:numFmt w:val="bullet"/>
      <w:lvlText w:val=""/>
      <w:lvlJc w:val="left"/>
      <w:pPr>
        <w:tabs>
          <w:tab w:val="num" w:pos="3600"/>
        </w:tabs>
        <w:ind w:left="3600" w:hanging="360"/>
      </w:pPr>
      <w:rPr>
        <w:rFonts w:ascii="Symbol" w:hAnsi="Symbol" w:hint="default"/>
      </w:rPr>
    </w:lvl>
    <w:lvl w:ilvl="5" w:tplc="7EB085A0" w:tentative="1">
      <w:start w:val="1"/>
      <w:numFmt w:val="bullet"/>
      <w:lvlText w:val=""/>
      <w:lvlJc w:val="left"/>
      <w:pPr>
        <w:tabs>
          <w:tab w:val="num" w:pos="4320"/>
        </w:tabs>
        <w:ind w:left="4320" w:hanging="360"/>
      </w:pPr>
      <w:rPr>
        <w:rFonts w:ascii="Symbol" w:hAnsi="Symbol" w:hint="default"/>
      </w:rPr>
    </w:lvl>
    <w:lvl w:ilvl="6" w:tplc="EEF02D20" w:tentative="1">
      <w:start w:val="1"/>
      <w:numFmt w:val="bullet"/>
      <w:lvlText w:val=""/>
      <w:lvlJc w:val="left"/>
      <w:pPr>
        <w:tabs>
          <w:tab w:val="num" w:pos="5040"/>
        </w:tabs>
        <w:ind w:left="5040" w:hanging="360"/>
      </w:pPr>
      <w:rPr>
        <w:rFonts w:ascii="Symbol" w:hAnsi="Symbol" w:hint="default"/>
      </w:rPr>
    </w:lvl>
    <w:lvl w:ilvl="7" w:tplc="8984F8BE" w:tentative="1">
      <w:start w:val="1"/>
      <w:numFmt w:val="bullet"/>
      <w:lvlText w:val=""/>
      <w:lvlJc w:val="left"/>
      <w:pPr>
        <w:tabs>
          <w:tab w:val="num" w:pos="5760"/>
        </w:tabs>
        <w:ind w:left="5760" w:hanging="360"/>
      </w:pPr>
      <w:rPr>
        <w:rFonts w:ascii="Symbol" w:hAnsi="Symbol" w:hint="default"/>
      </w:rPr>
    </w:lvl>
    <w:lvl w:ilvl="8" w:tplc="33FE06D6" w:tentative="1">
      <w:start w:val="1"/>
      <w:numFmt w:val="bullet"/>
      <w:lvlText w:val=""/>
      <w:lvlJc w:val="left"/>
      <w:pPr>
        <w:tabs>
          <w:tab w:val="num" w:pos="6480"/>
        </w:tabs>
        <w:ind w:left="6480" w:hanging="360"/>
      </w:pPr>
      <w:rPr>
        <w:rFonts w:ascii="Symbol" w:hAnsi="Symbol" w:hint="default"/>
      </w:rPr>
    </w:lvl>
  </w:abstractNum>
  <w:abstractNum w:abstractNumId="1">
    <w:nsid w:val="08C53163"/>
    <w:multiLevelType w:val="hybridMultilevel"/>
    <w:tmpl w:val="DE50345C"/>
    <w:lvl w:ilvl="0" w:tplc="3CEA512A">
      <w:start w:val="1"/>
      <w:numFmt w:val="bullet"/>
      <w:lvlText w:val=""/>
      <w:lvlPicBulletId w:val="2"/>
      <w:lvlJc w:val="left"/>
      <w:pPr>
        <w:tabs>
          <w:tab w:val="num" w:pos="720"/>
        </w:tabs>
        <w:ind w:left="720" w:hanging="360"/>
      </w:pPr>
      <w:rPr>
        <w:rFonts w:ascii="Symbol" w:hAnsi="Symbol" w:hint="default"/>
      </w:rPr>
    </w:lvl>
    <w:lvl w:ilvl="1" w:tplc="1E923C3C" w:tentative="1">
      <w:start w:val="1"/>
      <w:numFmt w:val="bullet"/>
      <w:lvlText w:val=""/>
      <w:lvlJc w:val="left"/>
      <w:pPr>
        <w:tabs>
          <w:tab w:val="num" w:pos="1440"/>
        </w:tabs>
        <w:ind w:left="1440" w:hanging="360"/>
      </w:pPr>
      <w:rPr>
        <w:rFonts w:ascii="Symbol" w:hAnsi="Symbol" w:hint="default"/>
      </w:rPr>
    </w:lvl>
    <w:lvl w:ilvl="2" w:tplc="52785AFC" w:tentative="1">
      <w:start w:val="1"/>
      <w:numFmt w:val="bullet"/>
      <w:lvlText w:val=""/>
      <w:lvlJc w:val="left"/>
      <w:pPr>
        <w:tabs>
          <w:tab w:val="num" w:pos="2160"/>
        </w:tabs>
        <w:ind w:left="2160" w:hanging="360"/>
      </w:pPr>
      <w:rPr>
        <w:rFonts w:ascii="Symbol" w:hAnsi="Symbol" w:hint="default"/>
      </w:rPr>
    </w:lvl>
    <w:lvl w:ilvl="3" w:tplc="05C4B2B0" w:tentative="1">
      <w:start w:val="1"/>
      <w:numFmt w:val="bullet"/>
      <w:lvlText w:val=""/>
      <w:lvlJc w:val="left"/>
      <w:pPr>
        <w:tabs>
          <w:tab w:val="num" w:pos="2880"/>
        </w:tabs>
        <w:ind w:left="2880" w:hanging="360"/>
      </w:pPr>
      <w:rPr>
        <w:rFonts w:ascii="Symbol" w:hAnsi="Symbol" w:hint="default"/>
      </w:rPr>
    </w:lvl>
    <w:lvl w:ilvl="4" w:tplc="8FB6B372" w:tentative="1">
      <w:start w:val="1"/>
      <w:numFmt w:val="bullet"/>
      <w:lvlText w:val=""/>
      <w:lvlJc w:val="left"/>
      <w:pPr>
        <w:tabs>
          <w:tab w:val="num" w:pos="3600"/>
        </w:tabs>
        <w:ind w:left="3600" w:hanging="360"/>
      </w:pPr>
      <w:rPr>
        <w:rFonts w:ascii="Symbol" w:hAnsi="Symbol" w:hint="default"/>
      </w:rPr>
    </w:lvl>
    <w:lvl w:ilvl="5" w:tplc="8992163C" w:tentative="1">
      <w:start w:val="1"/>
      <w:numFmt w:val="bullet"/>
      <w:lvlText w:val=""/>
      <w:lvlJc w:val="left"/>
      <w:pPr>
        <w:tabs>
          <w:tab w:val="num" w:pos="4320"/>
        </w:tabs>
        <w:ind w:left="4320" w:hanging="360"/>
      </w:pPr>
      <w:rPr>
        <w:rFonts w:ascii="Symbol" w:hAnsi="Symbol" w:hint="default"/>
      </w:rPr>
    </w:lvl>
    <w:lvl w:ilvl="6" w:tplc="4C2225A4" w:tentative="1">
      <w:start w:val="1"/>
      <w:numFmt w:val="bullet"/>
      <w:lvlText w:val=""/>
      <w:lvlJc w:val="left"/>
      <w:pPr>
        <w:tabs>
          <w:tab w:val="num" w:pos="5040"/>
        </w:tabs>
        <w:ind w:left="5040" w:hanging="360"/>
      </w:pPr>
      <w:rPr>
        <w:rFonts w:ascii="Symbol" w:hAnsi="Symbol" w:hint="default"/>
      </w:rPr>
    </w:lvl>
    <w:lvl w:ilvl="7" w:tplc="4EF0D146" w:tentative="1">
      <w:start w:val="1"/>
      <w:numFmt w:val="bullet"/>
      <w:lvlText w:val=""/>
      <w:lvlJc w:val="left"/>
      <w:pPr>
        <w:tabs>
          <w:tab w:val="num" w:pos="5760"/>
        </w:tabs>
        <w:ind w:left="5760" w:hanging="360"/>
      </w:pPr>
      <w:rPr>
        <w:rFonts w:ascii="Symbol" w:hAnsi="Symbol" w:hint="default"/>
      </w:rPr>
    </w:lvl>
    <w:lvl w:ilvl="8" w:tplc="EB863324" w:tentative="1">
      <w:start w:val="1"/>
      <w:numFmt w:val="bullet"/>
      <w:lvlText w:val=""/>
      <w:lvlJc w:val="left"/>
      <w:pPr>
        <w:tabs>
          <w:tab w:val="num" w:pos="6480"/>
        </w:tabs>
        <w:ind w:left="6480" w:hanging="360"/>
      </w:pPr>
      <w:rPr>
        <w:rFonts w:ascii="Symbol" w:hAnsi="Symbol" w:hint="default"/>
      </w:rPr>
    </w:lvl>
  </w:abstractNum>
  <w:abstractNum w:abstractNumId="2">
    <w:nsid w:val="25850F1E"/>
    <w:multiLevelType w:val="multilevel"/>
    <w:tmpl w:val="3B8C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BA54B2"/>
    <w:multiLevelType w:val="multilevel"/>
    <w:tmpl w:val="EC484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973A80"/>
    <w:multiLevelType w:val="multilevel"/>
    <w:tmpl w:val="0B40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5D564D"/>
    <w:multiLevelType w:val="hybridMultilevel"/>
    <w:tmpl w:val="E3C81A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4B51CFB"/>
    <w:multiLevelType w:val="hybridMultilevel"/>
    <w:tmpl w:val="0B54F9F8"/>
    <w:lvl w:ilvl="0" w:tplc="45229A1A">
      <w:start w:val="1"/>
      <w:numFmt w:val="decimal"/>
      <w:lvlText w:val="%1."/>
      <w:lvlJc w:val="left"/>
      <w:pPr>
        <w:ind w:left="720" w:hanging="36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10B5BCF"/>
    <w:multiLevelType w:val="hybridMultilevel"/>
    <w:tmpl w:val="0B54F9F8"/>
    <w:lvl w:ilvl="0" w:tplc="45229A1A">
      <w:start w:val="1"/>
      <w:numFmt w:val="decimal"/>
      <w:lvlText w:val="%1."/>
      <w:lvlJc w:val="left"/>
      <w:pPr>
        <w:ind w:left="720" w:hanging="36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0CF1DFE"/>
    <w:multiLevelType w:val="hybridMultilevel"/>
    <w:tmpl w:val="7BE6B8D2"/>
    <w:lvl w:ilvl="0" w:tplc="D7DCCC76">
      <w:start w:val="1"/>
      <w:numFmt w:val="bullet"/>
      <w:lvlText w:val=""/>
      <w:lvlPicBulletId w:val="1"/>
      <w:lvlJc w:val="left"/>
      <w:pPr>
        <w:tabs>
          <w:tab w:val="num" w:pos="720"/>
        </w:tabs>
        <w:ind w:left="720" w:hanging="360"/>
      </w:pPr>
      <w:rPr>
        <w:rFonts w:ascii="Symbol" w:hAnsi="Symbol" w:hint="default"/>
      </w:rPr>
    </w:lvl>
    <w:lvl w:ilvl="1" w:tplc="5580843A" w:tentative="1">
      <w:start w:val="1"/>
      <w:numFmt w:val="bullet"/>
      <w:lvlText w:val=""/>
      <w:lvlJc w:val="left"/>
      <w:pPr>
        <w:tabs>
          <w:tab w:val="num" w:pos="1440"/>
        </w:tabs>
        <w:ind w:left="1440" w:hanging="360"/>
      </w:pPr>
      <w:rPr>
        <w:rFonts w:ascii="Symbol" w:hAnsi="Symbol" w:hint="default"/>
      </w:rPr>
    </w:lvl>
    <w:lvl w:ilvl="2" w:tplc="0FB4B3F4" w:tentative="1">
      <w:start w:val="1"/>
      <w:numFmt w:val="bullet"/>
      <w:lvlText w:val=""/>
      <w:lvlJc w:val="left"/>
      <w:pPr>
        <w:tabs>
          <w:tab w:val="num" w:pos="2160"/>
        </w:tabs>
        <w:ind w:left="2160" w:hanging="360"/>
      </w:pPr>
      <w:rPr>
        <w:rFonts w:ascii="Symbol" w:hAnsi="Symbol" w:hint="default"/>
      </w:rPr>
    </w:lvl>
    <w:lvl w:ilvl="3" w:tplc="243EA362" w:tentative="1">
      <w:start w:val="1"/>
      <w:numFmt w:val="bullet"/>
      <w:lvlText w:val=""/>
      <w:lvlJc w:val="left"/>
      <w:pPr>
        <w:tabs>
          <w:tab w:val="num" w:pos="2880"/>
        </w:tabs>
        <w:ind w:left="2880" w:hanging="360"/>
      </w:pPr>
      <w:rPr>
        <w:rFonts w:ascii="Symbol" w:hAnsi="Symbol" w:hint="default"/>
      </w:rPr>
    </w:lvl>
    <w:lvl w:ilvl="4" w:tplc="8140E950" w:tentative="1">
      <w:start w:val="1"/>
      <w:numFmt w:val="bullet"/>
      <w:lvlText w:val=""/>
      <w:lvlJc w:val="left"/>
      <w:pPr>
        <w:tabs>
          <w:tab w:val="num" w:pos="3600"/>
        </w:tabs>
        <w:ind w:left="3600" w:hanging="360"/>
      </w:pPr>
      <w:rPr>
        <w:rFonts w:ascii="Symbol" w:hAnsi="Symbol" w:hint="default"/>
      </w:rPr>
    </w:lvl>
    <w:lvl w:ilvl="5" w:tplc="55BA2600" w:tentative="1">
      <w:start w:val="1"/>
      <w:numFmt w:val="bullet"/>
      <w:lvlText w:val=""/>
      <w:lvlJc w:val="left"/>
      <w:pPr>
        <w:tabs>
          <w:tab w:val="num" w:pos="4320"/>
        </w:tabs>
        <w:ind w:left="4320" w:hanging="360"/>
      </w:pPr>
      <w:rPr>
        <w:rFonts w:ascii="Symbol" w:hAnsi="Symbol" w:hint="default"/>
      </w:rPr>
    </w:lvl>
    <w:lvl w:ilvl="6" w:tplc="589E1F2A" w:tentative="1">
      <w:start w:val="1"/>
      <w:numFmt w:val="bullet"/>
      <w:lvlText w:val=""/>
      <w:lvlJc w:val="left"/>
      <w:pPr>
        <w:tabs>
          <w:tab w:val="num" w:pos="5040"/>
        </w:tabs>
        <w:ind w:left="5040" w:hanging="360"/>
      </w:pPr>
      <w:rPr>
        <w:rFonts w:ascii="Symbol" w:hAnsi="Symbol" w:hint="default"/>
      </w:rPr>
    </w:lvl>
    <w:lvl w:ilvl="7" w:tplc="CFBC095A" w:tentative="1">
      <w:start w:val="1"/>
      <w:numFmt w:val="bullet"/>
      <w:lvlText w:val=""/>
      <w:lvlJc w:val="left"/>
      <w:pPr>
        <w:tabs>
          <w:tab w:val="num" w:pos="5760"/>
        </w:tabs>
        <w:ind w:left="5760" w:hanging="360"/>
      </w:pPr>
      <w:rPr>
        <w:rFonts w:ascii="Symbol" w:hAnsi="Symbol" w:hint="default"/>
      </w:rPr>
    </w:lvl>
    <w:lvl w:ilvl="8" w:tplc="244E51D2" w:tentative="1">
      <w:start w:val="1"/>
      <w:numFmt w:val="bullet"/>
      <w:lvlText w:val=""/>
      <w:lvlJc w:val="left"/>
      <w:pPr>
        <w:tabs>
          <w:tab w:val="num" w:pos="6480"/>
        </w:tabs>
        <w:ind w:left="6480" w:hanging="360"/>
      </w:pPr>
      <w:rPr>
        <w:rFonts w:ascii="Symbol" w:hAnsi="Symbol" w:hint="default"/>
      </w:rPr>
    </w:lvl>
  </w:abstractNum>
  <w:abstractNum w:abstractNumId="9">
    <w:nsid w:val="648C2177"/>
    <w:multiLevelType w:val="multilevel"/>
    <w:tmpl w:val="1C7C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EC20EF"/>
    <w:multiLevelType w:val="multilevel"/>
    <w:tmpl w:val="41C8F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B924EB"/>
    <w:multiLevelType w:val="multilevel"/>
    <w:tmpl w:val="FCAE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EBC7498"/>
    <w:multiLevelType w:val="multilevel"/>
    <w:tmpl w:val="6E6C9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0864BB"/>
    <w:multiLevelType w:val="multilevel"/>
    <w:tmpl w:val="5AD05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6A036A2"/>
    <w:multiLevelType w:val="hybridMultilevel"/>
    <w:tmpl w:val="D902DBAA"/>
    <w:lvl w:ilvl="0" w:tplc="27707FC2">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7635725"/>
    <w:multiLevelType w:val="multilevel"/>
    <w:tmpl w:val="CD2ED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417246"/>
    <w:multiLevelType w:val="hybridMultilevel"/>
    <w:tmpl w:val="52C4A852"/>
    <w:lvl w:ilvl="0" w:tplc="EA542E38">
      <w:start w:val="1"/>
      <w:numFmt w:val="bullet"/>
      <w:lvlText w:val=""/>
      <w:lvlPicBulletId w:val="3"/>
      <w:lvlJc w:val="left"/>
      <w:pPr>
        <w:tabs>
          <w:tab w:val="num" w:pos="720"/>
        </w:tabs>
        <w:ind w:left="720" w:hanging="360"/>
      </w:pPr>
      <w:rPr>
        <w:rFonts w:ascii="Symbol" w:hAnsi="Symbol" w:hint="default"/>
      </w:rPr>
    </w:lvl>
    <w:lvl w:ilvl="1" w:tplc="7A5824B0" w:tentative="1">
      <w:start w:val="1"/>
      <w:numFmt w:val="bullet"/>
      <w:lvlText w:val=""/>
      <w:lvlJc w:val="left"/>
      <w:pPr>
        <w:tabs>
          <w:tab w:val="num" w:pos="1440"/>
        </w:tabs>
        <w:ind w:left="1440" w:hanging="360"/>
      </w:pPr>
      <w:rPr>
        <w:rFonts w:ascii="Symbol" w:hAnsi="Symbol" w:hint="default"/>
      </w:rPr>
    </w:lvl>
    <w:lvl w:ilvl="2" w:tplc="EF94A314" w:tentative="1">
      <w:start w:val="1"/>
      <w:numFmt w:val="bullet"/>
      <w:lvlText w:val=""/>
      <w:lvlJc w:val="left"/>
      <w:pPr>
        <w:tabs>
          <w:tab w:val="num" w:pos="2160"/>
        </w:tabs>
        <w:ind w:left="2160" w:hanging="360"/>
      </w:pPr>
      <w:rPr>
        <w:rFonts w:ascii="Symbol" w:hAnsi="Symbol" w:hint="default"/>
      </w:rPr>
    </w:lvl>
    <w:lvl w:ilvl="3" w:tplc="C04E2058" w:tentative="1">
      <w:start w:val="1"/>
      <w:numFmt w:val="bullet"/>
      <w:lvlText w:val=""/>
      <w:lvlJc w:val="left"/>
      <w:pPr>
        <w:tabs>
          <w:tab w:val="num" w:pos="2880"/>
        </w:tabs>
        <w:ind w:left="2880" w:hanging="360"/>
      </w:pPr>
      <w:rPr>
        <w:rFonts w:ascii="Symbol" w:hAnsi="Symbol" w:hint="default"/>
      </w:rPr>
    </w:lvl>
    <w:lvl w:ilvl="4" w:tplc="1B4EF50C" w:tentative="1">
      <w:start w:val="1"/>
      <w:numFmt w:val="bullet"/>
      <w:lvlText w:val=""/>
      <w:lvlJc w:val="left"/>
      <w:pPr>
        <w:tabs>
          <w:tab w:val="num" w:pos="3600"/>
        </w:tabs>
        <w:ind w:left="3600" w:hanging="360"/>
      </w:pPr>
      <w:rPr>
        <w:rFonts w:ascii="Symbol" w:hAnsi="Symbol" w:hint="default"/>
      </w:rPr>
    </w:lvl>
    <w:lvl w:ilvl="5" w:tplc="5DBAFD9C" w:tentative="1">
      <w:start w:val="1"/>
      <w:numFmt w:val="bullet"/>
      <w:lvlText w:val=""/>
      <w:lvlJc w:val="left"/>
      <w:pPr>
        <w:tabs>
          <w:tab w:val="num" w:pos="4320"/>
        </w:tabs>
        <w:ind w:left="4320" w:hanging="360"/>
      </w:pPr>
      <w:rPr>
        <w:rFonts w:ascii="Symbol" w:hAnsi="Symbol" w:hint="default"/>
      </w:rPr>
    </w:lvl>
    <w:lvl w:ilvl="6" w:tplc="075A471E" w:tentative="1">
      <w:start w:val="1"/>
      <w:numFmt w:val="bullet"/>
      <w:lvlText w:val=""/>
      <w:lvlJc w:val="left"/>
      <w:pPr>
        <w:tabs>
          <w:tab w:val="num" w:pos="5040"/>
        </w:tabs>
        <w:ind w:left="5040" w:hanging="360"/>
      </w:pPr>
      <w:rPr>
        <w:rFonts w:ascii="Symbol" w:hAnsi="Symbol" w:hint="default"/>
      </w:rPr>
    </w:lvl>
    <w:lvl w:ilvl="7" w:tplc="AE7C70BE" w:tentative="1">
      <w:start w:val="1"/>
      <w:numFmt w:val="bullet"/>
      <w:lvlText w:val=""/>
      <w:lvlJc w:val="left"/>
      <w:pPr>
        <w:tabs>
          <w:tab w:val="num" w:pos="5760"/>
        </w:tabs>
        <w:ind w:left="5760" w:hanging="360"/>
      </w:pPr>
      <w:rPr>
        <w:rFonts w:ascii="Symbol" w:hAnsi="Symbol" w:hint="default"/>
      </w:rPr>
    </w:lvl>
    <w:lvl w:ilvl="8" w:tplc="B01492A8"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14"/>
  </w:num>
  <w:num w:numId="3">
    <w:abstractNumId w:val="7"/>
  </w:num>
  <w:num w:numId="4">
    <w:abstractNumId w:val="0"/>
  </w:num>
  <w:num w:numId="5">
    <w:abstractNumId w:val="8"/>
  </w:num>
  <w:num w:numId="6">
    <w:abstractNumId w:val="1"/>
  </w:num>
  <w:num w:numId="7">
    <w:abstractNumId w:val="16"/>
  </w:num>
  <w:num w:numId="8">
    <w:abstractNumId w:val="6"/>
  </w:num>
  <w:num w:numId="9">
    <w:abstractNumId w:val="3"/>
  </w:num>
  <w:num w:numId="10">
    <w:abstractNumId w:val="12"/>
  </w:num>
  <w:num w:numId="11">
    <w:abstractNumId w:val="11"/>
  </w:num>
  <w:num w:numId="12">
    <w:abstractNumId w:val="9"/>
  </w:num>
  <w:num w:numId="13">
    <w:abstractNumId w:val="10"/>
  </w:num>
  <w:num w:numId="14">
    <w:abstractNumId w:val="13"/>
  </w:num>
  <w:num w:numId="15">
    <w:abstractNumId w:val="2"/>
  </w:num>
  <w:num w:numId="16">
    <w:abstractNumId w:val="15"/>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273DD9"/>
    <w:rsid w:val="0003366D"/>
    <w:rsid w:val="00084FB6"/>
    <w:rsid w:val="00094AFA"/>
    <w:rsid w:val="000C4DF5"/>
    <w:rsid w:val="0010001D"/>
    <w:rsid w:val="0012349B"/>
    <w:rsid w:val="001A62CA"/>
    <w:rsid w:val="001D4DE2"/>
    <w:rsid w:val="001E10ED"/>
    <w:rsid w:val="00205FC8"/>
    <w:rsid w:val="0020701E"/>
    <w:rsid w:val="00214E9C"/>
    <w:rsid w:val="00234BDE"/>
    <w:rsid w:val="00243B9C"/>
    <w:rsid w:val="0025544A"/>
    <w:rsid w:val="00262018"/>
    <w:rsid w:val="00273DD9"/>
    <w:rsid w:val="002764FF"/>
    <w:rsid w:val="002E295D"/>
    <w:rsid w:val="003202DF"/>
    <w:rsid w:val="00350456"/>
    <w:rsid w:val="003578E9"/>
    <w:rsid w:val="003A1AAA"/>
    <w:rsid w:val="003A76E9"/>
    <w:rsid w:val="003C24BE"/>
    <w:rsid w:val="003C3FEA"/>
    <w:rsid w:val="003C5CDE"/>
    <w:rsid w:val="003E05F0"/>
    <w:rsid w:val="00413D90"/>
    <w:rsid w:val="00414666"/>
    <w:rsid w:val="00486FDE"/>
    <w:rsid w:val="004B2A1A"/>
    <w:rsid w:val="005479E3"/>
    <w:rsid w:val="0057662B"/>
    <w:rsid w:val="005976D5"/>
    <w:rsid w:val="005B193D"/>
    <w:rsid w:val="005E2F3E"/>
    <w:rsid w:val="005E45CA"/>
    <w:rsid w:val="005F1B49"/>
    <w:rsid w:val="006177AC"/>
    <w:rsid w:val="006316F2"/>
    <w:rsid w:val="00632B94"/>
    <w:rsid w:val="006510B2"/>
    <w:rsid w:val="00662F13"/>
    <w:rsid w:val="00680B4C"/>
    <w:rsid w:val="006A042B"/>
    <w:rsid w:val="006A2194"/>
    <w:rsid w:val="006B3A55"/>
    <w:rsid w:val="007170ED"/>
    <w:rsid w:val="00721B72"/>
    <w:rsid w:val="00731F4A"/>
    <w:rsid w:val="00746E42"/>
    <w:rsid w:val="0075687E"/>
    <w:rsid w:val="00766836"/>
    <w:rsid w:val="00767B41"/>
    <w:rsid w:val="00785F8F"/>
    <w:rsid w:val="007B3900"/>
    <w:rsid w:val="00844662"/>
    <w:rsid w:val="00856CE7"/>
    <w:rsid w:val="00863F14"/>
    <w:rsid w:val="00871955"/>
    <w:rsid w:val="00883507"/>
    <w:rsid w:val="00897F8C"/>
    <w:rsid w:val="008D4947"/>
    <w:rsid w:val="008E424D"/>
    <w:rsid w:val="00906CCF"/>
    <w:rsid w:val="009201DF"/>
    <w:rsid w:val="009350F9"/>
    <w:rsid w:val="00936D87"/>
    <w:rsid w:val="0095548D"/>
    <w:rsid w:val="0098364D"/>
    <w:rsid w:val="009E2E78"/>
    <w:rsid w:val="00A075C2"/>
    <w:rsid w:val="00A25EAC"/>
    <w:rsid w:val="00A53075"/>
    <w:rsid w:val="00A54C78"/>
    <w:rsid w:val="00AE0AB5"/>
    <w:rsid w:val="00AE3980"/>
    <w:rsid w:val="00AE56B1"/>
    <w:rsid w:val="00AF4173"/>
    <w:rsid w:val="00B00B84"/>
    <w:rsid w:val="00B05269"/>
    <w:rsid w:val="00B12C1B"/>
    <w:rsid w:val="00B162C9"/>
    <w:rsid w:val="00B90F0B"/>
    <w:rsid w:val="00B940C7"/>
    <w:rsid w:val="00BA1AD7"/>
    <w:rsid w:val="00BA5B17"/>
    <w:rsid w:val="00BA7213"/>
    <w:rsid w:val="00BD3CEE"/>
    <w:rsid w:val="00C150EF"/>
    <w:rsid w:val="00C42F2E"/>
    <w:rsid w:val="00C616DC"/>
    <w:rsid w:val="00C73FA4"/>
    <w:rsid w:val="00CD6E0D"/>
    <w:rsid w:val="00CF0B85"/>
    <w:rsid w:val="00D12E17"/>
    <w:rsid w:val="00D431AE"/>
    <w:rsid w:val="00D75C3C"/>
    <w:rsid w:val="00D868A8"/>
    <w:rsid w:val="00DA1ABA"/>
    <w:rsid w:val="00DA6E8A"/>
    <w:rsid w:val="00DD4F25"/>
    <w:rsid w:val="00E0036D"/>
    <w:rsid w:val="00E14766"/>
    <w:rsid w:val="00E456AB"/>
    <w:rsid w:val="00E65F38"/>
    <w:rsid w:val="00EA29F1"/>
    <w:rsid w:val="00EC1A91"/>
    <w:rsid w:val="00EC3FEC"/>
    <w:rsid w:val="00F00789"/>
    <w:rsid w:val="00F024F2"/>
    <w:rsid w:val="00F06474"/>
    <w:rsid w:val="00F10102"/>
    <w:rsid w:val="00F17FEC"/>
    <w:rsid w:val="00F53012"/>
    <w:rsid w:val="00F74345"/>
    <w:rsid w:val="00F87FB7"/>
    <w:rsid w:val="00FC0A18"/>
    <w:rsid w:val="00FC7EE5"/>
    <w:rsid w:val="00FE395E"/>
    <w:rsid w:val="00FF22A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FEC"/>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14E9C"/>
    <w:pPr>
      <w:ind w:left="720"/>
      <w:contextualSpacing/>
    </w:pPr>
  </w:style>
  <w:style w:type="table" w:styleId="Tablaconcuadrcula">
    <w:name w:val="Table Grid"/>
    <w:basedOn w:val="Tablanormal"/>
    <w:uiPriority w:val="59"/>
    <w:rsid w:val="001000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A5307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53075"/>
  </w:style>
  <w:style w:type="paragraph" w:styleId="Piedepgina">
    <w:name w:val="footer"/>
    <w:basedOn w:val="Normal"/>
    <w:link w:val="PiedepginaCar"/>
    <w:uiPriority w:val="99"/>
    <w:unhideWhenUsed/>
    <w:rsid w:val="00A5307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53075"/>
  </w:style>
  <w:style w:type="paragraph" w:styleId="Sinespaciado">
    <w:name w:val="No Spacing"/>
    <w:link w:val="SinespaciadoCar"/>
    <w:uiPriority w:val="1"/>
    <w:qFormat/>
    <w:rsid w:val="00486FDE"/>
    <w:pPr>
      <w:spacing w:after="0" w:line="240" w:lineRule="auto"/>
    </w:pPr>
    <w:rPr>
      <w:rFonts w:ascii="Calibri" w:eastAsia="Times New Roman" w:hAnsi="Calibri" w:cs="Times New Roman"/>
    </w:rPr>
  </w:style>
  <w:style w:type="character" w:customStyle="1" w:styleId="SinespaciadoCar">
    <w:name w:val="Sin espaciado Car"/>
    <w:basedOn w:val="Fuentedeprrafopredeter"/>
    <w:link w:val="Sinespaciado"/>
    <w:uiPriority w:val="1"/>
    <w:rsid w:val="00486FDE"/>
    <w:rPr>
      <w:rFonts w:ascii="Calibri" w:eastAsia="Times New Roman" w:hAnsi="Calibri" w:cs="Times New Roman"/>
    </w:rPr>
  </w:style>
  <w:style w:type="character" w:customStyle="1" w:styleId="ggroupname1">
    <w:name w:val="g_groupname1"/>
    <w:basedOn w:val="Fuentedeprrafopredeter"/>
    <w:rsid w:val="00486FDE"/>
    <w:rPr>
      <w:rFonts w:ascii="Helvetica" w:hAnsi="Helvetica" w:cs="Helvetica" w:hint="default"/>
      <w:b/>
      <w:bCs/>
      <w:i w:val="0"/>
      <w:iCs w:val="0"/>
      <w:color w:val="FFFFFF"/>
      <w:spacing w:val="-15"/>
      <w:sz w:val="42"/>
      <w:szCs w:val="42"/>
    </w:rPr>
  </w:style>
  <w:style w:type="character" w:styleId="Textodelmarcadordeposicin">
    <w:name w:val="Placeholder Text"/>
    <w:basedOn w:val="Fuentedeprrafopredeter"/>
    <w:uiPriority w:val="99"/>
    <w:semiHidden/>
    <w:rsid w:val="00863F14"/>
    <w:rPr>
      <w:color w:val="808080"/>
    </w:rPr>
  </w:style>
  <w:style w:type="paragraph" w:styleId="Textodeglobo">
    <w:name w:val="Balloon Text"/>
    <w:basedOn w:val="Normal"/>
    <w:link w:val="TextodegloboCar"/>
    <w:uiPriority w:val="99"/>
    <w:semiHidden/>
    <w:unhideWhenUsed/>
    <w:rsid w:val="00A54C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4C78"/>
    <w:rPr>
      <w:rFonts w:ascii="Tahoma" w:hAnsi="Tahoma" w:cs="Tahoma"/>
      <w:sz w:val="16"/>
      <w:szCs w:val="16"/>
    </w:rPr>
  </w:style>
  <w:style w:type="paragraph" w:styleId="NormalWeb">
    <w:name w:val="Normal (Web)"/>
    <w:basedOn w:val="Normal"/>
    <w:uiPriority w:val="99"/>
    <w:unhideWhenUsed/>
    <w:rsid w:val="00785F8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785F8F"/>
  </w:style>
  <w:style w:type="character" w:styleId="Textoennegrita">
    <w:name w:val="Strong"/>
    <w:basedOn w:val="Fuentedeprrafopredeter"/>
    <w:uiPriority w:val="22"/>
    <w:qFormat/>
    <w:rsid w:val="00785F8F"/>
    <w:rPr>
      <w:b/>
      <w:bCs/>
    </w:rPr>
  </w:style>
  <w:style w:type="character" w:styleId="Hipervnculo">
    <w:name w:val="Hyperlink"/>
    <w:basedOn w:val="Fuentedeprrafopredeter"/>
    <w:uiPriority w:val="99"/>
    <w:unhideWhenUsed/>
    <w:rsid w:val="003C3FE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29048703">
      <w:bodyDiv w:val="1"/>
      <w:marLeft w:val="0"/>
      <w:marRight w:val="0"/>
      <w:marTop w:val="0"/>
      <w:marBottom w:val="0"/>
      <w:divBdr>
        <w:top w:val="none" w:sz="0" w:space="0" w:color="auto"/>
        <w:left w:val="none" w:sz="0" w:space="0" w:color="auto"/>
        <w:bottom w:val="none" w:sz="0" w:space="0" w:color="auto"/>
        <w:right w:val="none" w:sz="0" w:space="0" w:color="auto"/>
      </w:divBdr>
    </w:div>
    <w:div w:id="1242131945">
      <w:bodyDiv w:val="1"/>
      <w:marLeft w:val="0"/>
      <w:marRight w:val="0"/>
      <w:marTop w:val="0"/>
      <w:marBottom w:val="0"/>
      <w:divBdr>
        <w:top w:val="none" w:sz="0" w:space="0" w:color="auto"/>
        <w:left w:val="none" w:sz="0" w:space="0" w:color="auto"/>
        <w:bottom w:val="none" w:sz="0" w:space="0" w:color="auto"/>
        <w:right w:val="none" w:sz="0" w:space="0" w:color="auto"/>
      </w:divBdr>
    </w:div>
    <w:div w:id="145629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5.png"/><Relationship Id="rId12" Type="http://schemas.openxmlformats.org/officeDocument/2006/relationships/hyperlink" Target="http://www.aproa.c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hyperlink" Target="http://images.google.es/imgres?imgurl=http://www.psicoaragon.es/IIIENCUENTRO/IIIencuentro2/UOC_marcaweb.jpg&amp;imgrefurl=http://www.psicoaragon.es/IIIENCUENTRO/IIIencuentro2/organizacion.htm&amp;usg=__e9PIYonBU5NslO4SB9y6Iz5pJ3M=&amp;h=206&amp;w=360&amp;sz=61&amp;hl=es&amp;start=3&amp;tbnid=-PaO-6z2ZDK_yM:&amp;tbnh=69&amp;tbnw=121&amp;prev=/images?q=uoc&amp;gbv=2&amp;hl=es&amp;safe=off&amp;sa=G"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725912-B5B1-4997-931C-794EA2C60A2D}" type="doc">
      <dgm:prSet loTypeId="urn:microsoft.com/office/officeart/2005/8/layout/cycle5" loCatId="cycle" qsTypeId="urn:microsoft.com/office/officeart/2005/8/quickstyle/simple1" qsCatId="simple" csTypeId="urn:microsoft.com/office/officeart/2005/8/colors/colorful3" csCatId="colorful" phldr="1"/>
      <dgm:spPr/>
      <dgm:t>
        <a:bodyPr/>
        <a:lstStyle/>
        <a:p>
          <a:endParaRPr lang="es-ES"/>
        </a:p>
      </dgm:t>
    </dgm:pt>
    <dgm:pt modelId="{4C7B066D-7A31-4466-93C4-C67E803944F2}">
      <dgm:prSet phldrT="[Texto]"/>
      <dgm:spPr/>
      <dgm:t>
        <a:bodyPr/>
        <a:lstStyle/>
        <a:p>
          <a:r>
            <a:rPr lang="es-ES"/>
            <a:t>Desarrollo</a:t>
          </a:r>
        </a:p>
      </dgm:t>
    </dgm:pt>
    <dgm:pt modelId="{A3193E7E-9785-43D6-BF44-72D30DB64BEA}" type="parTrans" cxnId="{6D580011-4A0A-4292-BC8C-EAAB3D1DA06F}">
      <dgm:prSet/>
      <dgm:spPr/>
      <dgm:t>
        <a:bodyPr/>
        <a:lstStyle/>
        <a:p>
          <a:endParaRPr lang="es-ES"/>
        </a:p>
      </dgm:t>
    </dgm:pt>
    <dgm:pt modelId="{CAEA9B1A-E7DC-4E05-B557-8600E7F730A7}" type="sibTrans" cxnId="{6D580011-4A0A-4292-BC8C-EAAB3D1DA06F}">
      <dgm:prSet/>
      <dgm:spPr/>
      <dgm:t>
        <a:bodyPr/>
        <a:lstStyle/>
        <a:p>
          <a:endParaRPr lang="es-ES"/>
        </a:p>
      </dgm:t>
    </dgm:pt>
    <dgm:pt modelId="{24EF3EAA-1347-43DC-AD97-F06F7EBDF651}">
      <dgm:prSet phldrT="[Texto]"/>
      <dgm:spPr/>
      <dgm:t>
        <a:bodyPr/>
        <a:lstStyle/>
        <a:p>
          <a:r>
            <a:rPr lang="es-ES"/>
            <a:t>Aplicación</a:t>
          </a:r>
        </a:p>
      </dgm:t>
    </dgm:pt>
    <dgm:pt modelId="{EB49899D-0F77-4F65-AD78-12344EC98173}" type="parTrans" cxnId="{FDFAF13D-B37D-4D93-B62B-5218E15A9884}">
      <dgm:prSet/>
      <dgm:spPr/>
      <dgm:t>
        <a:bodyPr/>
        <a:lstStyle/>
        <a:p>
          <a:endParaRPr lang="es-ES"/>
        </a:p>
      </dgm:t>
    </dgm:pt>
    <dgm:pt modelId="{ABC0F03D-C0A4-4F84-B604-EC076BAEF071}" type="sibTrans" cxnId="{FDFAF13D-B37D-4D93-B62B-5218E15A9884}">
      <dgm:prSet/>
      <dgm:spPr/>
      <dgm:t>
        <a:bodyPr/>
        <a:lstStyle/>
        <a:p>
          <a:endParaRPr lang="es-ES"/>
        </a:p>
      </dgm:t>
    </dgm:pt>
    <dgm:pt modelId="{F8402BE7-A5A0-42C6-8C74-4DBEA0BD886F}">
      <dgm:prSet phldrT="[Texto]"/>
      <dgm:spPr/>
      <dgm:t>
        <a:bodyPr/>
        <a:lstStyle/>
        <a:p>
          <a:r>
            <a:rPr lang="es-ES"/>
            <a:t>Evaluación</a:t>
          </a:r>
        </a:p>
      </dgm:t>
    </dgm:pt>
    <dgm:pt modelId="{B5E29AE8-CA6D-4D13-9A05-441919888A5D}" type="parTrans" cxnId="{64F4659A-89F8-4F65-8C3B-E44C37FF620D}">
      <dgm:prSet/>
      <dgm:spPr/>
      <dgm:t>
        <a:bodyPr/>
        <a:lstStyle/>
        <a:p>
          <a:endParaRPr lang="es-ES"/>
        </a:p>
      </dgm:t>
    </dgm:pt>
    <dgm:pt modelId="{4365A958-FCC5-469A-8341-0E77E7830C8D}" type="sibTrans" cxnId="{64F4659A-89F8-4F65-8C3B-E44C37FF620D}">
      <dgm:prSet/>
      <dgm:spPr/>
      <dgm:t>
        <a:bodyPr/>
        <a:lstStyle/>
        <a:p>
          <a:endParaRPr lang="es-ES"/>
        </a:p>
      </dgm:t>
    </dgm:pt>
    <dgm:pt modelId="{7353E0A7-06D4-4287-B3D8-AD5F73D0E97B}">
      <dgm:prSet phldrT="[Texto]"/>
      <dgm:spPr/>
      <dgm:t>
        <a:bodyPr/>
        <a:lstStyle/>
        <a:p>
          <a:r>
            <a:rPr lang="es-ES"/>
            <a:t>Objetivo</a:t>
          </a:r>
        </a:p>
      </dgm:t>
    </dgm:pt>
    <dgm:pt modelId="{66471683-704F-4A2C-95F9-D5BF6708B6FB}" type="parTrans" cxnId="{15172A35-EC17-4E5F-B038-0A9E8B3BB843}">
      <dgm:prSet/>
      <dgm:spPr/>
      <dgm:t>
        <a:bodyPr/>
        <a:lstStyle/>
        <a:p>
          <a:endParaRPr lang="es-ES"/>
        </a:p>
      </dgm:t>
    </dgm:pt>
    <dgm:pt modelId="{0DE9FF48-E6FB-475E-A1E6-CC1AB13B54A5}" type="sibTrans" cxnId="{15172A35-EC17-4E5F-B038-0A9E8B3BB843}">
      <dgm:prSet/>
      <dgm:spPr/>
      <dgm:t>
        <a:bodyPr/>
        <a:lstStyle/>
        <a:p>
          <a:endParaRPr lang="es-ES"/>
        </a:p>
      </dgm:t>
    </dgm:pt>
    <dgm:pt modelId="{155F9747-0531-4976-B67F-1CB300F502E3}" type="pres">
      <dgm:prSet presAssocID="{8B725912-B5B1-4997-931C-794EA2C60A2D}" presName="cycle" presStyleCnt="0">
        <dgm:presLayoutVars>
          <dgm:dir/>
          <dgm:resizeHandles val="exact"/>
        </dgm:presLayoutVars>
      </dgm:prSet>
      <dgm:spPr/>
      <dgm:t>
        <a:bodyPr/>
        <a:lstStyle/>
        <a:p>
          <a:endParaRPr lang="es-ES"/>
        </a:p>
      </dgm:t>
    </dgm:pt>
    <dgm:pt modelId="{E1FB7704-4040-4AB9-ABDB-9242E307A984}" type="pres">
      <dgm:prSet presAssocID="{4C7B066D-7A31-4466-93C4-C67E803944F2}" presName="node" presStyleLbl="node1" presStyleIdx="0" presStyleCnt="4">
        <dgm:presLayoutVars>
          <dgm:bulletEnabled val="1"/>
        </dgm:presLayoutVars>
      </dgm:prSet>
      <dgm:spPr/>
      <dgm:t>
        <a:bodyPr/>
        <a:lstStyle/>
        <a:p>
          <a:endParaRPr lang="es-ES"/>
        </a:p>
      </dgm:t>
    </dgm:pt>
    <dgm:pt modelId="{343D9D3D-BA58-47D7-92BF-F0F35ECC7214}" type="pres">
      <dgm:prSet presAssocID="{4C7B066D-7A31-4466-93C4-C67E803944F2}" presName="spNode" presStyleCnt="0"/>
      <dgm:spPr/>
    </dgm:pt>
    <dgm:pt modelId="{EF5B99B7-8E06-4DC2-9405-17A9B04DB7F0}" type="pres">
      <dgm:prSet presAssocID="{CAEA9B1A-E7DC-4E05-B557-8600E7F730A7}" presName="sibTrans" presStyleLbl="sibTrans1D1" presStyleIdx="0" presStyleCnt="4"/>
      <dgm:spPr/>
      <dgm:t>
        <a:bodyPr/>
        <a:lstStyle/>
        <a:p>
          <a:endParaRPr lang="es-ES"/>
        </a:p>
      </dgm:t>
    </dgm:pt>
    <dgm:pt modelId="{B1A5D657-85E5-475F-8B7F-88EF3E70A288}" type="pres">
      <dgm:prSet presAssocID="{24EF3EAA-1347-43DC-AD97-F06F7EBDF651}" presName="node" presStyleLbl="node1" presStyleIdx="1" presStyleCnt="4">
        <dgm:presLayoutVars>
          <dgm:bulletEnabled val="1"/>
        </dgm:presLayoutVars>
      </dgm:prSet>
      <dgm:spPr/>
      <dgm:t>
        <a:bodyPr/>
        <a:lstStyle/>
        <a:p>
          <a:endParaRPr lang="es-ES"/>
        </a:p>
      </dgm:t>
    </dgm:pt>
    <dgm:pt modelId="{522170E5-C600-4036-9A04-0B67DD9A2C32}" type="pres">
      <dgm:prSet presAssocID="{24EF3EAA-1347-43DC-AD97-F06F7EBDF651}" presName="spNode" presStyleCnt="0"/>
      <dgm:spPr/>
    </dgm:pt>
    <dgm:pt modelId="{6196D14D-12F6-4DB7-A3C3-698B21FF13E2}" type="pres">
      <dgm:prSet presAssocID="{ABC0F03D-C0A4-4F84-B604-EC076BAEF071}" presName="sibTrans" presStyleLbl="sibTrans1D1" presStyleIdx="1" presStyleCnt="4"/>
      <dgm:spPr/>
      <dgm:t>
        <a:bodyPr/>
        <a:lstStyle/>
        <a:p>
          <a:endParaRPr lang="es-ES"/>
        </a:p>
      </dgm:t>
    </dgm:pt>
    <dgm:pt modelId="{58F578F4-E424-4C18-858F-F8C1C8845D51}" type="pres">
      <dgm:prSet presAssocID="{F8402BE7-A5A0-42C6-8C74-4DBEA0BD886F}" presName="node" presStyleLbl="node1" presStyleIdx="2" presStyleCnt="4">
        <dgm:presLayoutVars>
          <dgm:bulletEnabled val="1"/>
        </dgm:presLayoutVars>
      </dgm:prSet>
      <dgm:spPr/>
      <dgm:t>
        <a:bodyPr/>
        <a:lstStyle/>
        <a:p>
          <a:endParaRPr lang="es-ES"/>
        </a:p>
      </dgm:t>
    </dgm:pt>
    <dgm:pt modelId="{FC837F21-8104-4AC6-A428-47AA60D76FF0}" type="pres">
      <dgm:prSet presAssocID="{F8402BE7-A5A0-42C6-8C74-4DBEA0BD886F}" presName="spNode" presStyleCnt="0"/>
      <dgm:spPr/>
    </dgm:pt>
    <dgm:pt modelId="{2262C927-BF4B-4A65-BFFC-AF5F222F979A}" type="pres">
      <dgm:prSet presAssocID="{4365A958-FCC5-469A-8341-0E77E7830C8D}" presName="sibTrans" presStyleLbl="sibTrans1D1" presStyleIdx="2" presStyleCnt="4"/>
      <dgm:spPr/>
      <dgm:t>
        <a:bodyPr/>
        <a:lstStyle/>
        <a:p>
          <a:endParaRPr lang="es-ES"/>
        </a:p>
      </dgm:t>
    </dgm:pt>
    <dgm:pt modelId="{5FB73B45-EB88-489E-A523-F3DB19DAC15F}" type="pres">
      <dgm:prSet presAssocID="{7353E0A7-06D4-4287-B3D8-AD5F73D0E97B}" presName="node" presStyleLbl="node1" presStyleIdx="3" presStyleCnt="4">
        <dgm:presLayoutVars>
          <dgm:bulletEnabled val="1"/>
        </dgm:presLayoutVars>
      </dgm:prSet>
      <dgm:spPr/>
      <dgm:t>
        <a:bodyPr/>
        <a:lstStyle/>
        <a:p>
          <a:endParaRPr lang="es-ES"/>
        </a:p>
      </dgm:t>
    </dgm:pt>
    <dgm:pt modelId="{65FC88A2-EA8A-44E5-AE48-01F56F80434D}" type="pres">
      <dgm:prSet presAssocID="{7353E0A7-06D4-4287-B3D8-AD5F73D0E97B}" presName="spNode" presStyleCnt="0"/>
      <dgm:spPr/>
    </dgm:pt>
    <dgm:pt modelId="{FA5E4B39-4889-4D60-8E23-184D6AA77BF1}" type="pres">
      <dgm:prSet presAssocID="{0DE9FF48-E6FB-475E-A1E6-CC1AB13B54A5}" presName="sibTrans" presStyleLbl="sibTrans1D1" presStyleIdx="3" presStyleCnt="4"/>
      <dgm:spPr/>
      <dgm:t>
        <a:bodyPr/>
        <a:lstStyle/>
        <a:p>
          <a:endParaRPr lang="es-ES"/>
        </a:p>
      </dgm:t>
    </dgm:pt>
  </dgm:ptLst>
  <dgm:cxnLst>
    <dgm:cxn modelId="{019E4220-D0C6-4A1C-A354-CF0E923A4B4D}" type="presOf" srcId="{4C7B066D-7A31-4466-93C4-C67E803944F2}" destId="{E1FB7704-4040-4AB9-ABDB-9242E307A984}" srcOrd="0" destOrd="0" presId="urn:microsoft.com/office/officeart/2005/8/layout/cycle5"/>
    <dgm:cxn modelId="{6D580011-4A0A-4292-BC8C-EAAB3D1DA06F}" srcId="{8B725912-B5B1-4997-931C-794EA2C60A2D}" destId="{4C7B066D-7A31-4466-93C4-C67E803944F2}" srcOrd="0" destOrd="0" parTransId="{A3193E7E-9785-43D6-BF44-72D30DB64BEA}" sibTransId="{CAEA9B1A-E7DC-4E05-B557-8600E7F730A7}"/>
    <dgm:cxn modelId="{F1EFD167-751D-49DE-BC1B-74BCDDCE72C1}" type="presOf" srcId="{7353E0A7-06D4-4287-B3D8-AD5F73D0E97B}" destId="{5FB73B45-EB88-489E-A523-F3DB19DAC15F}" srcOrd="0" destOrd="0" presId="urn:microsoft.com/office/officeart/2005/8/layout/cycle5"/>
    <dgm:cxn modelId="{6A4228B2-45D7-497C-99BA-18FFE779EC60}" type="presOf" srcId="{4365A958-FCC5-469A-8341-0E77E7830C8D}" destId="{2262C927-BF4B-4A65-BFFC-AF5F222F979A}" srcOrd="0" destOrd="0" presId="urn:microsoft.com/office/officeart/2005/8/layout/cycle5"/>
    <dgm:cxn modelId="{CF0F77A0-C9DC-4B92-853F-680C9C386156}" type="presOf" srcId="{8B725912-B5B1-4997-931C-794EA2C60A2D}" destId="{155F9747-0531-4976-B67F-1CB300F502E3}" srcOrd="0" destOrd="0" presId="urn:microsoft.com/office/officeart/2005/8/layout/cycle5"/>
    <dgm:cxn modelId="{15172A35-EC17-4E5F-B038-0A9E8B3BB843}" srcId="{8B725912-B5B1-4997-931C-794EA2C60A2D}" destId="{7353E0A7-06D4-4287-B3D8-AD5F73D0E97B}" srcOrd="3" destOrd="0" parTransId="{66471683-704F-4A2C-95F9-D5BF6708B6FB}" sibTransId="{0DE9FF48-E6FB-475E-A1E6-CC1AB13B54A5}"/>
    <dgm:cxn modelId="{0AC58F17-C41A-435F-9FA7-F674B2A2757F}" type="presOf" srcId="{F8402BE7-A5A0-42C6-8C74-4DBEA0BD886F}" destId="{58F578F4-E424-4C18-858F-F8C1C8845D51}" srcOrd="0" destOrd="0" presId="urn:microsoft.com/office/officeart/2005/8/layout/cycle5"/>
    <dgm:cxn modelId="{4A746996-A78A-4545-BC9F-C50CE2BCFD56}" type="presOf" srcId="{ABC0F03D-C0A4-4F84-B604-EC076BAEF071}" destId="{6196D14D-12F6-4DB7-A3C3-698B21FF13E2}" srcOrd="0" destOrd="0" presId="urn:microsoft.com/office/officeart/2005/8/layout/cycle5"/>
    <dgm:cxn modelId="{22FAC30B-CAD0-4166-A8EB-A3FC643E8654}" type="presOf" srcId="{24EF3EAA-1347-43DC-AD97-F06F7EBDF651}" destId="{B1A5D657-85E5-475F-8B7F-88EF3E70A288}" srcOrd="0" destOrd="0" presId="urn:microsoft.com/office/officeart/2005/8/layout/cycle5"/>
    <dgm:cxn modelId="{629D5EE5-8D94-4350-BD61-E68B512A87ED}" type="presOf" srcId="{CAEA9B1A-E7DC-4E05-B557-8600E7F730A7}" destId="{EF5B99B7-8E06-4DC2-9405-17A9B04DB7F0}" srcOrd="0" destOrd="0" presId="urn:microsoft.com/office/officeart/2005/8/layout/cycle5"/>
    <dgm:cxn modelId="{64F4659A-89F8-4F65-8C3B-E44C37FF620D}" srcId="{8B725912-B5B1-4997-931C-794EA2C60A2D}" destId="{F8402BE7-A5A0-42C6-8C74-4DBEA0BD886F}" srcOrd="2" destOrd="0" parTransId="{B5E29AE8-CA6D-4D13-9A05-441919888A5D}" sibTransId="{4365A958-FCC5-469A-8341-0E77E7830C8D}"/>
    <dgm:cxn modelId="{439A251A-1040-47B1-8587-F549C64773E2}" type="presOf" srcId="{0DE9FF48-E6FB-475E-A1E6-CC1AB13B54A5}" destId="{FA5E4B39-4889-4D60-8E23-184D6AA77BF1}" srcOrd="0" destOrd="0" presId="urn:microsoft.com/office/officeart/2005/8/layout/cycle5"/>
    <dgm:cxn modelId="{FDFAF13D-B37D-4D93-B62B-5218E15A9884}" srcId="{8B725912-B5B1-4997-931C-794EA2C60A2D}" destId="{24EF3EAA-1347-43DC-AD97-F06F7EBDF651}" srcOrd="1" destOrd="0" parTransId="{EB49899D-0F77-4F65-AD78-12344EC98173}" sibTransId="{ABC0F03D-C0A4-4F84-B604-EC076BAEF071}"/>
    <dgm:cxn modelId="{F50D8561-4F9B-4380-8176-936C8383DCDE}" type="presParOf" srcId="{155F9747-0531-4976-B67F-1CB300F502E3}" destId="{E1FB7704-4040-4AB9-ABDB-9242E307A984}" srcOrd="0" destOrd="0" presId="urn:microsoft.com/office/officeart/2005/8/layout/cycle5"/>
    <dgm:cxn modelId="{F650E7E2-3106-4232-ACCD-F55DCBB0CAF0}" type="presParOf" srcId="{155F9747-0531-4976-B67F-1CB300F502E3}" destId="{343D9D3D-BA58-47D7-92BF-F0F35ECC7214}" srcOrd="1" destOrd="0" presId="urn:microsoft.com/office/officeart/2005/8/layout/cycle5"/>
    <dgm:cxn modelId="{01199988-9C92-462D-AAFE-EE5E9C944A09}" type="presParOf" srcId="{155F9747-0531-4976-B67F-1CB300F502E3}" destId="{EF5B99B7-8E06-4DC2-9405-17A9B04DB7F0}" srcOrd="2" destOrd="0" presId="urn:microsoft.com/office/officeart/2005/8/layout/cycle5"/>
    <dgm:cxn modelId="{41770DCD-C9C8-485F-A2C8-2640328D0575}" type="presParOf" srcId="{155F9747-0531-4976-B67F-1CB300F502E3}" destId="{B1A5D657-85E5-475F-8B7F-88EF3E70A288}" srcOrd="3" destOrd="0" presId="urn:microsoft.com/office/officeart/2005/8/layout/cycle5"/>
    <dgm:cxn modelId="{0EEDCE9B-24BC-4C3B-BDF9-786C648A6965}" type="presParOf" srcId="{155F9747-0531-4976-B67F-1CB300F502E3}" destId="{522170E5-C600-4036-9A04-0B67DD9A2C32}" srcOrd="4" destOrd="0" presId="urn:microsoft.com/office/officeart/2005/8/layout/cycle5"/>
    <dgm:cxn modelId="{BD14BCD8-0D83-4136-8125-B23207E065F7}" type="presParOf" srcId="{155F9747-0531-4976-B67F-1CB300F502E3}" destId="{6196D14D-12F6-4DB7-A3C3-698B21FF13E2}" srcOrd="5" destOrd="0" presId="urn:microsoft.com/office/officeart/2005/8/layout/cycle5"/>
    <dgm:cxn modelId="{378CB32A-C569-4E00-A4D3-3C607410DF03}" type="presParOf" srcId="{155F9747-0531-4976-B67F-1CB300F502E3}" destId="{58F578F4-E424-4C18-858F-F8C1C8845D51}" srcOrd="6" destOrd="0" presId="urn:microsoft.com/office/officeart/2005/8/layout/cycle5"/>
    <dgm:cxn modelId="{FF83B817-7EF4-493C-B120-17CD128C957F}" type="presParOf" srcId="{155F9747-0531-4976-B67F-1CB300F502E3}" destId="{FC837F21-8104-4AC6-A428-47AA60D76FF0}" srcOrd="7" destOrd="0" presId="urn:microsoft.com/office/officeart/2005/8/layout/cycle5"/>
    <dgm:cxn modelId="{363125C5-CCBD-4232-B854-B488E616A4B1}" type="presParOf" srcId="{155F9747-0531-4976-B67F-1CB300F502E3}" destId="{2262C927-BF4B-4A65-BFFC-AF5F222F979A}" srcOrd="8" destOrd="0" presId="urn:microsoft.com/office/officeart/2005/8/layout/cycle5"/>
    <dgm:cxn modelId="{7275DB81-968B-4D84-AFA1-03B1B1A1416F}" type="presParOf" srcId="{155F9747-0531-4976-B67F-1CB300F502E3}" destId="{5FB73B45-EB88-489E-A523-F3DB19DAC15F}" srcOrd="9" destOrd="0" presId="urn:microsoft.com/office/officeart/2005/8/layout/cycle5"/>
    <dgm:cxn modelId="{53701E1A-9104-4462-99E1-A8666B291E37}" type="presParOf" srcId="{155F9747-0531-4976-B67F-1CB300F502E3}" destId="{65FC88A2-EA8A-44E5-AE48-01F56F80434D}" srcOrd="10" destOrd="0" presId="urn:microsoft.com/office/officeart/2005/8/layout/cycle5"/>
    <dgm:cxn modelId="{B33B157E-4578-4F4F-933F-B64922544B18}" type="presParOf" srcId="{155F9747-0531-4976-B67F-1CB300F502E3}" destId="{FA5E4B39-4889-4D60-8E23-184D6AA77BF1}" srcOrd="11" destOrd="0" presId="urn:microsoft.com/office/officeart/2005/8/layout/cycle5"/>
  </dgm:cxnLst>
  <dgm:bg/>
  <dgm:whole/>
</dgm:dataModel>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494</TotalTime>
  <Pages>7</Pages>
  <Words>2224</Words>
  <Characters>12232</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Usuario de Windows</cp:lastModifiedBy>
  <cp:revision>20</cp:revision>
  <dcterms:created xsi:type="dcterms:W3CDTF">2009-11-14T14:00:00Z</dcterms:created>
  <dcterms:modified xsi:type="dcterms:W3CDTF">2011-05-09T15:39:00Z</dcterms:modified>
</cp:coreProperties>
</file>